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BBE3" w14:textId="7DE4652A" w:rsidR="00805963" w:rsidRDefault="004D13DE" w:rsidP="00805963">
      <w:pPr>
        <w:rPr>
          <w:b/>
          <w:color w:val="1F497D" w:themeColor="text2"/>
          <w:sz w:val="28"/>
          <w:szCs w:val="28"/>
        </w:rPr>
      </w:pPr>
      <w:r>
        <w:rPr>
          <w:b/>
          <w:color w:val="1F497D" w:themeColor="text2"/>
          <w:sz w:val="28"/>
          <w:szCs w:val="28"/>
        </w:rPr>
        <w:t>PTA checklist</w:t>
      </w:r>
      <w:r w:rsidR="008F01B4">
        <w:rPr>
          <w:b/>
          <w:color w:val="1F497D" w:themeColor="text2"/>
          <w:sz w:val="28"/>
          <w:szCs w:val="28"/>
        </w:rPr>
        <w:t xml:space="preserve"> op basis van het </w:t>
      </w:r>
      <w:r w:rsidR="00993C5A">
        <w:rPr>
          <w:b/>
          <w:color w:val="1F497D" w:themeColor="text2"/>
          <w:sz w:val="28"/>
          <w:szCs w:val="28"/>
        </w:rPr>
        <w:t>E</w:t>
      </w:r>
      <w:r w:rsidR="008F01B4">
        <w:rPr>
          <w:b/>
          <w:color w:val="1F497D" w:themeColor="text2"/>
          <w:sz w:val="28"/>
          <w:szCs w:val="28"/>
        </w:rPr>
        <w:t>indexamenbesluit</w:t>
      </w:r>
      <w:r w:rsidR="00993C5A">
        <w:rPr>
          <w:b/>
          <w:color w:val="1F497D" w:themeColor="text2"/>
          <w:sz w:val="28"/>
          <w:szCs w:val="28"/>
        </w:rPr>
        <w:t xml:space="preserve"> VO (versie 1-8-’21)</w:t>
      </w:r>
    </w:p>
    <w:p w14:paraId="73DCA256" w14:textId="5D492B79" w:rsidR="008F2104" w:rsidRPr="000D731A" w:rsidRDefault="008F2104" w:rsidP="00805963">
      <w:pPr>
        <w:rPr>
          <w:b/>
          <w:color w:val="1F497D" w:themeColor="text2"/>
          <w:sz w:val="28"/>
          <w:szCs w:val="28"/>
        </w:rPr>
      </w:pPr>
      <w:r w:rsidRPr="008F2104">
        <w:rPr>
          <w:rFonts w:ascii="Verdana" w:hAnsi="Verdana"/>
          <w:i/>
        </w:rPr>
        <w:t xml:space="preserve">Check </w:t>
      </w:r>
      <w:r>
        <w:rPr>
          <w:rFonts w:ascii="Verdana" w:hAnsi="Verdana"/>
          <w:i/>
        </w:rPr>
        <w:t>het</w:t>
      </w:r>
      <w:r w:rsidRPr="008F2104">
        <w:rPr>
          <w:rFonts w:ascii="Verdana" w:hAnsi="Verdana"/>
          <w:i/>
        </w:rPr>
        <w:t xml:space="preserve"> PTA o.b.v. onderstaande criteria</w:t>
      </w:r>
      <w:r>
        <w:rPr>
          <w:rFonts w:ascii="Verdana" w:hAnsi="Verdana"/>
          <w:i/>
        </w:rPr>
        <w:t xml:space="preserve">. </w:t>
      </w:r>
      <w:r w:rsidR="008400E3">
        <w:rPr>
          <w:rFonts w:ascii="Verdana" w:hAnsi="Verdana"/>
          <w:i/>
        </w:rPr>
        <w:t xml:space="preserve">Achter elk criterium staat aangegeven of dit een wenselijk punt betreft of een wettelijke verplichting. </w:t>
      </w:r>
      <w:r>
        <w:rPr>
          <w:rFonts w:ascii="Verdana" w:hAnsi="Verdana"/>
          <w:i/>
        </w:rPr>
        <w:t xml:space="preserve">Geef </w:t>
      </w:r>
      <w:r w:rsidR="00EC74C4">
        <w:rPr>
          <w:rFonts w:ascii="Verdana" w:hAnsi="Verdana"/>
          <w:i/>
        </w:rPr>
        <w:t xml:space="preserve">aan of </w:t>
      </w:r>
      <w:r w:rsidR="008400E3">
        <w:rPr>
          <w:rFonts w:ascii="Verdana" w:hAnsi="Verdana"/>
          <w:i/>
        </w:rPr>
        <w:t>jullie</w:t>
      </w:r>
      <w:r w:rsidR="00EC74C4">
        <w:rPr>
          <w:rFonts w:ascii="Verdana" w:hAnsi="Verdana"/>
          <w:i/>
        </w:rPr>
        <w:t xml:space="preserve"> PTA aan het betreffende criterium voldoet</w:t>
      </w:r>
      <w:r w:rsidR="008400E3">
        <w:rPr>
          <w:rFonts w:ascii="Verdana" w:hAnsi="Verdana"/>
          <w:i/>
        </w:rPr>
        <w:t xml:space="preserve"> en zo niet, welke actie dit vraagt van wie.</w:t>
      </w:r>
    </w:p>
    <w:tbl>
      <w:tblPr>
        <w:tblStyle w:val="Tabelraster"/>
        <w:tblW w:w="5000" w:type="pct"/>
        <w:tblLook w:val="04A0" w:firstRow="1" w:lastRow="0" w:firstColumn="1" w:lastColumn="0" w:noHBand="0" w:noVBand="1"/>
      </w:tblPr>
      <w:tblGrid>
        <w:gridCol w:w="5317"/>
        <w:gridCol w:w="982"/>
        <w:gridCol w:w="982"/>
        <w:gridCol w:w="1364"/>
        <w:gridCol w:w="5303"/>
      </w:tblGrid>
      <w:tr w:rsidR="0040105D" w:rsidRPr="00A53BA0" w14:paraId="41B460EB" w14:textId="7397BCC8" w:rsidTr="008F25B2">
        <w:trPr>
          <w:trHeight w:val="477"/>
        </w:trPr>
        <w:tc>
          <w:tcPr>
            <w:tcW w:w="1906" w:type="pct"/>
            <w:shd w:val="clear" w:color="auto" w:fill="00B0F0"/>
          </w:tcPr>
          <w:p w14:paraId="59C10647" w14:textId="63B3B098" w:rsidR="0040105D" w:rsidRPr="00F35CD3" w:rsidRDefault="0040105D" w:rsidP="002930B3">
            <w:pPr>
              <w:spacing w:before="100" w:beforeAutospacing="1" w:after="100" w:afterAutospacing="1"/>
              <w:rPr>
                <w:rFonts w:ascii="Calibri" w:eastAsia="Times New Roman" w:hAnsi="Calibri" w:cs="Calibri"/>
                <w:b/>
                <w:color w:val="000000"/>
                <w:sz w:val="24"/>
                <w:szCs w:val="24"/>
              </w:rPr>
            </w:pPr>
            <w:r>
              <w:rPr>
                <w:rFonts w:ascii="Calibri" w:eastAsia="Times New Roman" w:hAnsi="Calibri" w:cs="Calibri"/>
                <w:b/>
                <w:color w:val="000000"/>
                <w:sz w:val="24"/>
                <w:szCs w:val="24"/>
              </w:rPr>
              <w:t>C</w:t>
            </w:r>
            <w:r w:rsidRPr="00F35CD3">
              <w:rPr>
                <w:rFonts w:ascii="Calibri" w:eastAsia="Times New Roman" w:hAnsi="Calibri" w:cs="Calibri"/>
                <w:b/>
                <w:color w:val="000000"/>
                <w:sz w:val="24"/>
                <w:szCs w:val="24"/>
              </w:rPr>
              <w:t>riterium</w:t>
            </w:r>
          </w:p>
        </w:tc>
        <w:tc>
          <w:tcPr>
            <w:tcW w:w="352" w:type="pct"/>
            <w:shd w:val="clear" w:color="auto" w:fill="00B0F0"/>
          </w:tcPr>
          <w:p w14:paraId="53CD212F" w14:textId="77777777" w:rsidR="0040105D" w:rsidRDefault="0040105D" w:rsidP="002930B3">
            <w:pPr>
              <w:spacing w:before="100" w:beforeAutospacing="1" w:after="100" w:afterAutospacing="1"/>
              <w:rPr>
                <w:rFonts w:ascii="Calibri" w:eastAsia="Times New Roman" w:hAnsi="Calibri" w:cs="Calibri"/>
                <w:b/>
                <w:color w:val="000000"/>
                <w:szCs w:val="20"/>
              </w:rPr>
            </w:pPr>
            <w:r w:rsidRPr="0040105D">
              <w:rPr>
                <w:rFonts w:ascii="Calibri" w:eastAsia="Times New Roman" w:hAnsi="Calibri" w:cs="Calibri"/>
                <w:b/>
                <w:color w:val="000000"/>
                <w:szCs w:val="20"/>
              </w:rPr>
              <w:t>Verplicht</w:t>
            </w:r>
          </w:p>
          <w:p w14:paraId="5D1AAFC0" w14:textId="1513016B" w:rsidR="0040105D" w:rsidRPr="0040105D" w:rsidRDefault="0040105D" w:rsidP="002930B3">
            <w:pPr>
              <w:spacing w:before="100" w:beforeAutospacing="1" w:after="100" w:afterAutospacing="1"/>
              <w:rPr>
                <w:rFonts w:ascii="Calibri" w:eastAsia="Times New Roman" w:hAnsi="Calibri" w:cs="Calibri"/>
                <w:b/>
                <w:color w:val="000000"/>
                <w:szCs w:val="20"/>
              </w:rPr>
            </w:pPr>
            <w:r>
              <w:rPr>
                <w:rFonts w:ascii="Calibri" w:eastAsia="Times New Roman" w:hAnsi="Calibri" w:cs="Calibri"/>
                <w:b/>
                <w:color w:val="000000"/>
                <w:szCs w:val="20"/>
              </w:rPr>
              <w:t>criterium</w:t>
            </w:r>
          </w:p>
        </w:tc>
        <w:tc>
          <w:tcPr>
            <w:tcW w:w="352" w:type="pct"/>
            <w:shd w:val="clear" w:color="auto" w:fill="00B0F0"/>
          </w:tcPr>
          <w:p w14:paraId="0E3A590E" w14:textId="77777777" w:rsidR="0040105D" w:rsidRDefault="0040105D" w:rsidP="002930B3">
            <w:pPr>
              <w:spacing w:before="100" w:beforeAutospacing="1" w:after="100" w:afterAutospacing="1"/>
              <w:rPr>
                <w:rFonts w:ascii="Calibri" w:eastAsia="Times New Roman" w:hAnsi="Calibri" w:cs="Calibri"/>
                <w:b/>
                <w:color w:val="000000"/>
                <w:szCs w:val="20"/>
              </w:rPr>
            </w:pPr>
            <w:r w:rsidRPr="0040105D">
              <w:rPr>
                <w:rFonts w:ascii="Calibri" w:eastAsia="Times New Roman" w:hAnsi="Calibri" w:cs="Calibri"/>
                <w:b/>
                <w:color w:val="000000"/>
                <w:szCs w:val="20"/>
              </w:rPr>
              <w:t>Gewenst</w:t>
            </w:r>
          </w:p>
          <w:p w14:paraId="097AA90F" w14:textId="0C4A9E75" w:rsidR="0040105D" w:rsidRPr="0040105D" w:rsidRDefault="0040105D" w:rsidP="002930B3">
            <w:pPr>
              <w:spacing w:before="100" w:beforeAutospacing="1" w:after="100" w:afterAutospacing="1"/>
              <w:rPr>
                <w:rFonts w:ascii="Calibri" w:eastAsia="Times New Roman" w:hAnsi="Calibri" w:cs="Calibri"/>
                <w:b/>
                <w:color w:val="000000"/>
                <w:szCs w:val="20"/>
              </w:rPr>
            </w:pPr>
            <w:r>
              <w:rPr>
                <w:rFonts w:ascii="Calibri" w:eastAsia="Times New Roman" w:hAnsi="Calibri" w:cs="Calibri"/>
                <w:b/>
                <w:color w:val="000000"/>
                <w:szCs w:val="20"/>
              </w:rPr>
              <w:t>criterium</w:t>
            </w:r>
          </w:p>
        </w:tc>
        <w:tc>
          <w:tcPr>
            <w:tcW w:w="489" w:type="pct"/>
            <w:shd w:val="clear" w:color="auto" w:fill="00B0F0"/>
          </w:tcPr>
          <w:p w14:paraId="139D1598" w14:textId="7C54574B" w:rsidR="0040105D" w:rsidRDefault="0040105D" w:rsidP="002930B3">
            <w:pPr>
              <w:spacing w:before="100" w:beforeAutospacing="1" w:after="100" w:afterAutospacing="1"/>
              <w:rPr>
                <w:rFonts w:ascii="Calibri" w:eastAsia="Times New Roman" w:hAnsi="Calibri" w:cs="Calibri"/>
                <w:b/>
                <w:color w:val="000000"/>
                <w:sz w:val="24"/>
                <w:szCs w:val="24"/>
              </w:rPr>
            </w:pPr>
            <w:r>
              <w:rPr>
                <w:noProof/>
              </w:rPr>
              <w:drawing>
                <wp:inline distT="0" distB="0" distL="0" distR="0" wp14:anchorId="4AA5CC3C" wp14:editId="5598FA87">
                  <wp:extent cx="672465" cy="678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465" cy="678180"/>
                          </a:xfrm>
                          <a:prstGeom prst="rect">
                            <a:avLst/>
                          </a:prstGeom>
                        </pic:spPr>
                      </pic:pic>
                    </a:graphicData>
                  </a:graphic>
                </wp:inline>
              </w:drawing>
            </w:r>
          </w:p>
        </w:tc>
        <w:tc>
          <w:tcPr>
            <w:tcW w:w="1901" w:type="pct"/>
            <w:shd w:val="clear" w:color="auto" w:fill="00B0F0"/>
          </w:tcPr>
          <w:p w14:paraId="12109072" w14:textId="7D3211D9" w:rsidR="0040105D" w:rsidRPr="0040105D" w:rsidRDefault="0040105D" w:rsidP="002930B3">
            <w:pPr>
              <w:spacing w:before="100" w:beforeAutospacing="1" w:after="100" w:afterAutospacing="1"/>
              <w:rPr>
                <w:rFonts w:ascii="Calibri" w:eastAsia="Times New Roman" w:hAnsi="Calibri" w:cs="Calibri"/>
                <w:b/>
                <w:bCs/>
                <w:color w:val="000000"/>
                <w:sz w:val="24"/>
                <w:szCs w:val="24"/>
              </w:rPr>
            </w:pPr>
            <w:r w:rsidRPr="0040105D">
              <w:rPr>
                <w:b/>
                <w:bCs/>
                <w:noProof/>
              </w:rPr>
              <w:drawing>
                <wp:anchor distT="0" distB="0" distL="114300" distR="114300" simplePos="0" relativeHeight="251660288" behindDoc="1" locked="0" layoutInCell="1" allowOverlap="1" wp14:anchorId="5FF4B286" wp14:editId="786FEE1B">
                  <wp:simplePos x="0" y="0"/>
                  <wp:positionH relativeFrom="column">
                    <wp:posOffset>-29845</wp:posOffset>
                  </wp:positionH>
                  <wp:positionV relativeFrom="paragraph">
                    <wp:posOffset>18415</wp:posOffset>
                  </wp:positionV>
                  <wp:extent cx="647065" cy="636905"/>
                  <wp:effectExtent l="0" t="0" r="635" b="0"/>
                  <wp:wrapTight wrapText="bothSides">
                    <wp:wrapPolygon edited="0">
                      <wp:start x="0" y="0"/>
                      <wp:lineTo x="0" y="20674"/>
                      <wp:lineTo x="20985" y="20674"/>
                      <wp:lineTo x="2098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065" cy="636905"/>
                          </a:xfrm>
                          <a:prstGeom prst="rect">
                            <a:avLst/>
                          </a:prstGeom>
                        </pic:spPr>
                      </pic:pic>
                    </a:graphicData>
                  </a:graphic>
                  <wp14:sizeRelH relativeFrom="margin">
                    <wp14:pctWidth>0</wp14:pctWidth>
                  </wp14:sizeRelH>
                  <wp14:sizeRelV relativeFrom="margin">
                    <wp14:pctHeight>0</wp14:pctHeight>
                  </wp14:sizeRelV>
                </wp:anchor>
              </w:drawing>
            </w:r>
            <w:r w:rsidRPr="0040105D">
              <w:rPr>
                <w:rFonts w:ascii="Calibri" w:eastAsia="Times New Roman" w:hAnsi="Calibri" w:cs="Calibri"/>
                <w:b/>
                <w:bCs/>
                <w:color w:val="000000"/>
                <w:sz w:val="24"/>
                <w:szCs w:val="24"/>
              </w:rPr>
              <w:t xml:space="preserve"> Actiep</w:t>
            </w:r>
            <w:r w:rsidRPr="0040105D">
              <w:rPr>
                <w:rFonts w:ascii="Calibri" w:eastAsia="Times New Roman" w:hAnsi="Calibri" w:cs="Calibri"/>
                <w:b/>
                <w:bCs/>
                <w:color w:val="000000"/>
                <w:sz w:val="24"/>
                <w:szCs w:val="24"/>
              </w:rPr>
              <w:t xml:space="preserve">unt </w:t>
            </w:r>
            <w:r>
              <w:rPr>
                <w:rFonts w:ascii="Calibri" w:eastAsia="Times New Roman" w:hAnsi="Calibri" w:cs="Calibri"/>
                <w:b/>
                <w:bCs/>
                <w:color w:val="000000"/>
                <w:sz w:val="24"/>
                <w:szCs w:val="24"/>
              </w:rPr>
              <w:t>(wat moet er nog gebeuren, door wie?)</w:t>
            </w:r>
          </w:p>
        </w:tc>
      </w:tr>
      <w:tr w:rsidR="0040105D" w:rsidRPr="0079216A" w14:paraId="62765FE0" w14:textId="65FBA414" w:rsidTr="008F25B2">
        <w:tc>
          <w:tcPr>
            <w:tcW w:w="1906" w:type="pct"/>
          </w:tcPr>
          <w:p w14:paraId="3742BC61" w14:textId="4F96781D" w:rsidR="0040105D" w:rsidRDefault="0040105D" w:rsidP="008F01B4">
            <w:pPr>
              <w:pStyle w:val="Geenafstand"/>
            </w:pPr>
            <w:r>
              <w:t xml:space="preserve">De schooleigen visie op het </w:t>
            </w:r>
            <w:r w:rsidR="00804723">
              <w:t>schoolexamen (SE)</w:t>
            </w:r>
            <w:r>
              <w:t xml:space="preserve"> is herkenbaar vertaald naar het PTA</w:t>
            </w:r>
          </w:p>
          <w:p w14:paraId="16ADFA50" w14:textId="47021DEC" w:rsidR="0040105D" w:rsidRDefault="0040105D" w:rsidP="008F01B4">
            <w:pPr>
              <w:pStyle w:val="Geenafstand"/>
            </w:pPr>
          </w:p>
        </w:tc>
        <w:tc>
          <w:tcPr>
            <w:tcW w:w="352" w:type="pct"/>
          </w:tcPr>
          <w:p w14:paraId="2B688ED4" w14:textId="77777777" w:rsidR="0040105D" w:rsidRDefault="0040105D" w:rsidP="002930B3">
            <w:pPr>
              <w:spacing w:before="100" w:beforeAutospacing="1" w:after="100" w:afterAutospacing="1"/>
              <w:rPr>
                <w:rFonts w:eastAsia="Times New Roman"/>
                <w:color w:val="000000"/>
              </w:rPr>
            </w:pPr>
          </w:p>
        </w:tc>
        <w:tc>
          <w:tcPr>
            <w:tcW w:w="352" w:type="pct"/>
          </w:tcPr>
          <w:p w14:paraId="653C2498" w14:textId="4243AF5C" w:rsidR="0040105D" w:rsidRPr="0079216A" w:rsidRDefault="0040105D" w:rsidP="002930B3">
            <w:pPr>
              <w:spacing w:before="100" w:beforeAutospacing="1" w:after="100" w:afterAutospacing="1"/>
              <w:rPr>
                <w:rFonts w:eastAsia="Times New Roman"/>
                <w:color w:val="000000"/>
              </w:rPr>
            </w:pPr>
            <w:r>
              <w:rPr>
                <w:rFonts w:eastAsia="Times New Roman"/>
                <w:color w:val="000000"/>
              </w:rPr>
              <w:t>X</w:t>
            </w:r>
          </w:p>
        </w:tc>
        <w:tc>
          <w:tcPr>
            <w:tcW w:w="489" w:type="pct"/>
          </w:tcPr>
          <w:p w14:paraId="4F54C34B" w14:textId="77777777" w:rsidR="0040105D" w:rsidRPr="0079216A" w:rsidRDefault="0040105D" w:rsidP="002930B3">
            <w:pPr>
              <w:spacing w:before="100" w:beforeAutospacing="1" w:after="100" w:afterAutospacing="1"/>
              <w:rPr>
                <w:rFonts w:eastAsia="Times New Roman"/>
                <w:color w:val="000000"/>
              </w:rPr>
            </w:pPr>
          </w:p>
        </w:tc>
        <w:tc>
          <w:tcPr>
            <w:tcW w:w="1901" w:type="pct"/>
          </w:tcPr>
          <w:p w14:paraId="01D4F98E" w14:textId="77777777" w:rsidR="0040105D" w:rsidRPr="0079216A" w:rsidRDefault="0040105D" w:rsidP="002930B3">
            <w:pPr>
              <w:spacing w:before="100" w:beforeAutospacing="1" w:after="100" w:afterAutospacing="1"/>
              <w:rPr>
                <w:rFonts w:eastAsia="Times New Roman"/>
                <w:color w:val="000000"/>
              </w:rPr>
            </w:pPr>
          </w:p>
        </w:tc>
      </w:tr>
      <w:tr w:rsidR="0040105D" w:rsidRPr="0079216A" w14:paraId="6D044E87" w14:textId="0439EDBF" w:rsidTr="008F25B2">
        <w:tc>
          <w:tcPr>
            <w:tcW w:w="1906" w:type="pct"/>
          </w:tcPr>
          <w:p w14:paraId="7E337B0E" w14:textId="2154FB59" w:rsidR="0040105D" w:rsidRDefault="0040105D" w:rsidP="008F01B4">
            <w:pPr>
              <w:pStyle w:val="Geenafstand"/>
            </w:pPr>
            <w:r>
              <w:t>Het PTA past binnen de op de school afgesproken kaders voor het PTA</w:t>
            </w:r>
            <w:r w:rsidR="008F25B2">
              <w:t xml:space="preserve"> als onderdeel van het toetsbeleid van de school</w:t>
            </w:r>
            <w:r>
              <w:t xml:space="preserve"> (format, aantal toetsen, toetsvormen, </w:t>
            </w:r>
            <w:r w:rsidR="008F25B2">
              <w:t>weging</w:t>
            </w:r>
            <w:r w:rsidR="00804723">
              <w:t>scriteria</w:t>
            </w:r>
            <w:r w:rsidR="008F25B2">
              <w:t xml:space="preserve"> per toets, </w:t>
            </w:r>
            <w:r w:rsidR="008F25B2">
              <w:t xml:space="preserve">herkansingsbeleid, </w:t>
            </w:r>
            <w:r>
              <w:t>etc.)</w:t>
            </w:r>
          </w:p>
          <w:p w14:paraId="56FE828F" w14:textId="1A59B2F7" w:rsidR="0040105D" w:rsidRDefault="0040105D" w:rsidP="008F01B4">
            <w:pPr>
              <w:pStyle w:val="Geenafstand"/>
            </w:pPr>
          </w:p>
        </w:tc>
        <w:tc>
          <w:tcPr>
            <w:tcW w:w="352" w:type="pct"/>
          </w:tcPr>
          <w:p w14:paraId="7CE3926B" w14:textId="77777777" w:rsidR="0040105D" w:rsidRDefault="0040105D" w:rsidP="002930B3">
            <w:pPr>
              <w:spacing w:before="100" w:beforeAutospacing="1" w:after="100" w:afterAutospacing="1"/>
              <w:rPr>
                <w:rFonts w:eastAsia="Times New Roman"/>
                <w:color w:val="000000"/>
              </w:rPr>
            </w:pPr>
          </w:p>
        </w:tc>
        <w:tc>
          <w:tcPr>
            <w:tcW w:w="352" w:type="pct"/>
          </w:tcPr>
          <w:p w14:paraId="41751758" w14:textId="79364F88" w:rsidR="0040105D" w:rsidRPr="0079216A" w:rsidRDefault="0040105D" w:rsidP="002930B3">
            <w:pPr>
              <w:spacing w:before="100" w:beforeAutospacing="1" w:after="100" w:afterAutospacing="1"/>
              <w:rPr>
                <w:rFonts w:eastAsia="Times New Roman"/>
                <w:color w:val="000000"/>
              </w:rPr>
            </w:pPr>
            <w:r>
              <w:rPr>
                <w:rFonts w:eastAsia="Times New Roman"/>
                <w:color w:val="000000"/>
              </w:rPr>
              <w:t>X</w:t>
            </w:r>
          </w:p>
        </w:tc>
        <w:tc>
          <w:tcPr>
            <w:tcW w:w="489" w:type="pct"/>
          </w:tcPr>
          <w:p w14:paraId="440D6A34" w14:textId="77777777" w:rsidR="0040105D" w:rsidRPr="0079216A" w:rsidRDefault="0040105D" w:rsidP="002930B3">
            <w:pPr>
              <w:spacing w:before="100" w:beforeAutospacing="1" w:after="100" w:afterAutospacing="1"/>
              <w:rPr>
                <w:rFonts w:eastAsia="Times New Roman"/>
                <w:color w:val="000000"/>
              </w:rPr>
            </w:pPr>
          </w:p>
        </w:tc>
        <w:tc>
          <w:tcPr>
            <w:tcW w:w="1901" w:type="pct"/>
          </w:tcPr>
          <w:p w14:paraId="51B0218F" w14:textId="77777777" w:rsidR="0040105D" w:rsidRPr="0079216A" w:rsidRDefault="0040105D" w:rsidP="002930B3">
            <w:pPr>
              <w:spacing w:before="100" w:beforeAutospacing="1" w:after="100" w:afterAutospacing="1"/>
              <w:rPr>
                <w:rFonts w:eastAsia="Times New Roman"/>
                <w:color w:val="000000"/>
              </w:rPr>
            </w:pPr>
          </w:p>
        </w:tc>
      </w:tr>
      <w:tr w:rsidR="0040105D" w:rsidRPr="0079216A" w14:paraId="151991DF" w14:textId="04AE3BFF" w:rsidTr="008F25B2">
        <w:tc>
          <w:tcPr>
            <w:tcW w:w="1906" w:type="pct"/>
          </w:tcPr>
          <w:p w14:paraId="0F532E83" w14:textId="77777777" w:rsidR="008F25B2" w:rsidRDefault="008F25B2" w:rsidP="008F01B4">
            <w:pPr>
              <w:pStyle w:val="Geenafstand"/>
            </w:pPr>
          </w:p>
          <w:p w14:paraId="2DF80F41" w14:textId="4FA88716" w:rsidR="0040105D" w:rsidRDefault="0040105D" w:rsidP="008F01B4">
            <w:pPr>
              <w:pStyle w:val="Geenafstand"/>
            </w:pPr>
            <w:r>
              <w:t>In het PTA is per vak duidelijk en herleidbaar aangegeven welke toetsen</w:t>
            </w:r>
            <w:r>
              <w:rPr>
                <w:rStyle w:val="Voetnootmarkering"/>
              </w:rPr>
              <w:footnoteReference w:id="1"/>
            </w:r>
            <w:r>
              <w:t xml:space="preserve"> bijdragen aan de afsluiting van:</w:t>
            </w:r>
          </w:p>
          <w:p w14:paraId="243F147D" w14:textId="377A122F" w:rsidR="0040105D" w:rsidRDefault="0040105D" w:rsidP="00F35CD3">
            <w:pPr>
              <w:pStyle w:val="Geenafstand"/>
              <w:numPr>
                <w:ilvl w:val="0"/>
                <w:numId w:val="7"/>
              </w:numPr>
            </w:pPr>
            <w:r>
              <w:t xml:space="preserve">de onderdelen van het examenprogramma die verplicht in het </w:t>
            </w:r>
            <w:r w:rsidR="00804723">
              <w:t>SE</w:t>
            </w:r>
            <w:r>
              <w:t xml:space="preserve"> moeten worden afgenomen;</w:t>
            </w:r>
          </w:p>
          <w:p w14:paraId="667F927C" w14:textId="31641086" w:rsidR="0040105D" w:rsidRDefault="0040105D" w:rsidP="00F35CD3">
            <w:pPr>
              <w:pStyle w:val="Geenafstand"/>
              <w:numPr>
                <w:ilvl w:val="0"/>
                <w:numId w:val="7"/>
              </w:numPr>
            </w:pPr>
            <w:r>
              <w:t xml:space="preserve">de onderdelen van het examenprogramma die behoren tot de verplichte examenstof van het centraal examen, maar die ook in het </w:t>
            </w:r>
            <w:r w:rsidR="00804723">
              <w:t>SE</w:t>
            </w:r>
            <w:r>
              <w:t xml:space="preserve"> worden getoetst;</w:t>
            </w:r>
          </w:p>
          <w:p w14:paraId="075FB4D8" w14:textId="77777777" w:rsidR="0040105D" w:rsidRDefault="0040105D" w:rsidP="00F35CD3">
            <w:pPr>
              <w:pStyle w:val="Geenafstand"/>
              <w:numPr>
                <w:ilvl w:val="0"/>
                <w:numId w:val="7"/>
              </w:numPr>
            </w:pPr>
            <w:r>
              <w:t>de schooleigen onderdelen die zijn gekozen door het bevoegd gezag.</w:t>
            </w:r>
          </w:p>
          <w:p w14:paraId="6A8BA629" w14:textId="77777777" w:rsidR="0040105D" w:rsidRDefault="0040105D" w:rsidP="0040105D">
            <w:pPr>
              <w:pStyle w:val="Geenafstand"/>
              <w:ind w:left="720"/>
            </w:pPr>
          </w:p>
          <w:p w14:paraId="5FF642F2" w14:textId="77777777" w:rsidR="0040105D" w:rsidRDefault="0040105D" w:rsidP="0040105D">
            <w:pPr>
              <w:pStyle w:val="Geenafstand"/>
              <w:ind w:left="720"/>
            </w:pPr>
          </w:p>
          <w:p w14:paraId="305F5F5E" w14:textId="77777777" w:rsidR="0040105D" w:rsidRDefault="0040105D" w:rsidP="0040105D">
            <w:pPr>
              <w:pStyle w:val="Geenafstand"/>
              <w:ind w:left="720"/>
            </w:pPr>
          </w:p>
          <w:p w14:paraId="7F1DEA05" w14:textId="05733906" w:rsidR="0040105D" w:rsidRDefault="0040105D" w:rsidP="0040105D">
            <w:pPr>
              <w:pStyle w:val="Geenafstand"/>
              <w:ind w:left="720"/>
            </w:pPr>
          </w:p>
        </w:tc>
        <w:tc>
          <w:tcPr>
            <w:tcW w:w="352" w:type="pct"/>
          </w:tcPr>
          <w:p w14:paraId="06975281" w14:textId="77777777" w:rsidR="008F25B2" w:rsidRDefault="008F25B2" w:rsidP="002930B3">
            <w:pPr>
              <w:spacing w:before="100" w:beforeAutospacing="1" w:after="100" w:afterAutospacing="1"/>
              <w:rPr>
                <w:rFonts w:eastAsia="Times New Roman"/>
                <w:color w:val="000000"/>
              </w:rPr>
            </w:pPr>
          </w:p>
          <w:p w14:paraId="39A7CDEF" w14:textId="052C1110" w:rsidR="0040105D" w:rsidRPr="0079216A" w:rsidRDefault="0040105D" w:rsidP="002930B3">
            <w:pPr>
              <w:spacing w:before="100" w:beforeAutospacing="1" w:after="100" w:afterAutospacing="1"/>
              <w:rPr>
                <w:rFonts w:eastAsia="Times New Roman"/>
                <w:color w:val="000000"/>
              </w:rPr>
            </w:pPr>
            <w:r>
              <w:rPr>
                <w:rFonts w:eastAsia="Times New Roman"/>
                <w:color w:val="000000"/>
              </w:rPr>
              <w:t>X</w:t>
            </w:r>
          </w:p>
        </w:tc>
        <w:tc>
          <w:tcPr>
            <w:tcW w:w="352" w:type="pct"/>
          </w:tcPr>
          <w:p w14:paraId="4D461828" w14:textId="77777777" w:rsidR="0040105D" w:rsidRPr="0079216A" w:rsidRDefault="0040105D" w:rsidP="002930B3">
            <w:pPr>
              <w:spacing w:before="100" w:beforeAutospacing="1" w:after="100" w:afterAutospacing="1"/>
              <w:rPr>
                <w:rFonts w:eastAsia="Times New Roman"/>
                <w:color w:val="000000"/>
              </w:rPr>
            </w:pPr>
          </w:p>
        </w:tc>
        <w:tc>
          <w:tcPr>
            <w:tcW w:w="489" w:type="pct"/>
          </w:tcPr>
          <w:p w14:paraId="443F95DF" w14:textId="77777777" w:rsidR="0040105D" w:rsidRPr="0079216A" w:rsidRDefault="0040105D" w:rsidP="002930B3">
            <w:pPr>
              <w:spacing w:before="100" w:beforeAutospacing="1" w:after="100" w:afterAutospacing="1"/>
              <w:rPr>
                <w:rFonts w:eastAsia="Times New Roman"/>
                <w:color w:val="000000"/>
              </w:rPr>
            </w:pPr>
          </w:p>
        </w:tc>
        <w:tc>
          <w:tcPr>
            <w:tcW w:w="1901" w:type="pct"/>
          </w:tcPr>
          <w:p w14:paraId="3A07743E" w14:textId="0C5216C1" w:rsidR="0040105D" w:rsidRPr="0079216A" w:rsidRDefault="0040105D" w:rsidP="002930B3">
            <w:pPr>
              <w:spacing w:before="100" w:beforeAutospacing="1" w:after="100" w:afterAutospacing="1"/>
              <w:rPr>
                <w:rFonts w:eastAsia="Times New Roman"/>
                <w:color w:val="000000"/>
              </w:rPr>
            </w:pPr>
          </w:p>
        </w:tc>
      </w:tr>
      <w:tr w:rsidR="0040105D" w:rsidRPr="0079216A" w14:paraId="54900E8D" w14:textId="5F2039C6" w:rsidTr="008F25B2">
        <w:tc>
          <w:tcPr>
            <w:tcW w:w="1906" w:type="pct"/>
          </w:tcPr>
          <w:p w14:paraId="27F7620C" w14:textId="7694AD93" w:rsidR="0040105D" w:rsidRDefault="0040105D" w:rsidP="002C4014">
            <w:pPr>
              <w:pStyle w:val="Geenafstand"/>
            </w:pPr>
            <w:r>
              <w:t xml:space="preserve">De </w:t>
            </w:r>
            <w:r>
              <w:t xml:space="preserve">SE </w:t>
            </w:r>
            <w:r>
              <w:t>toetsen hebben een afsluitend karakter. Dit houdt het volgende in:</w:t>
            </w:r>
          </w:p>
          <w:p w14:paraId="643D2D0C" w14:textId="2A45EA61" w:rsidR="0040105D" w:rsidRDefault="0040105D" w:rsidP="002C4014">
            <w:pPr>
              <w:pStyle w:val="Geenafstand"/>
              <w:numPr>
                <w:ilvl w:val="0"/>
                <w:numId w:val="9"/>
              </w:numPr>
              <w:rPr>
                <w:rFonts w:eastAsia="Times New Roman"/>
                <w:color w:val="000000"/>
              </w:rPr>
            </w:pPr>
            <w:r>
              <w:rPr>
                <w:rFonts w:eastAsia="Times New Roman"/>
                <w:color w:val="000000"/>
              </w:rPr>
              <w:t>het SE bevat alleen summatieve toetsen (geen tussentijdse toetsen, huiswerkopdrachten, etc.)</w:t>
            </w:r>
          </w:p>
          <w:p w14:paraId="5162A3D8" w14:textId="4E81CA5D" w:rsidR="0040105D" w:rsidRPr="00F35CD3" w:rsidRDefault="0040105D" w:rsidP="002C4014">
            <w:pPr>
              <w:pStyle w:val="Geenafstand"/>
              <w:numPr>
                <w:ilvl w:val="0"/>
                <w:numId w:val="9"/>
              </w:numPr>
              <w:rPr>
                <w:rFonts w:eastAsia="Times New Roman"/>
                <w:color w:val="000000"/>
              </w:rPr>
            </w:pPr>
            <w:r>
              <w:rPr>
                <w:rFonts w:eastAsia="Times New Roman"/>
                <w:color w:val="000000"/>
              </w:rPr>
              <w:t xml:space="preserve">de </w:t>
            </w:r>
            <w:r w:rsidRPr="00F35CD3">
              <w:rPr>
                <w:rFonts w:eastAsia="Times New Roman"/>
                <w:color w:val="000000"/>
              </w:rPr>
              <w:t>onderdelen uit het examenprogramma worden bij voorkeur niet meer dan één keer getoetst;</w:t>
            </w:r>
          </w:p>
          <w:p w14:paraId="503480EA" w14:textId="4D7C648A" w:rsidR="0040105D" w:rsidRPr="00F35CD3" w:rsidRDefault="0040105D" w:rsidP="00F35CD3">
            <w:pPr>
              <w:pStyle w:val="Geenafstand"/>
              <w:numPr>
                <w:ilvl w:val="0"/>
                <w:numId w:val="7"/>
              </w:numPr>
              <w:rPr>
                <w:rFonts w:eastAsia="Times New Roman"/>
                <w:color w:val="000000"/>
              </w:rPr>
            </w:pPr>
            <w:r w:rsidRPr="00F35CD3">
              <w:rPr>
                <w:rFonts w:eastAsia="Times New Roman"/>
                <w:color w:val="000000"/>
              </w:rPr>
              <w:t xml:space="preserve">de toetsen van het </w:t>
            </w:r>
            <w:r w:rsidR="00804723">
              <w:rPr>
                <w:rFonts w:eastAsia="Times New Roman"/>
                <w:color w:val="000000"/>
              </w:rPr>
              <w:t>SE</w:t>
            </w:r>
            <w:r w:rsidRPr="00F35CD3">
              <w:rPr>
                <w:rFonts w:eastAsia="Times New Roman"/>
                <w:color w:val="000000"/>
              </w:rPr>
              <w:t xml:space="preserve"> bevatten een substantiële hoeveelheid leerstof;</w:t>
            </w:r>
          </w:p>
          <w:p w14:paraId="4B8ACB27" w14:textId="27BFEDFA" w:rsidR="0040105D" w:rsidRDefault="0040105D" w:rsidP="00F35CD3">
            <w:pPr>
              <w:pStyle w:val="Geenafstand"/>
              <w:numPr>
                <w:ilvl w:val="0"/>
                <w:numId w:val="7"/>
              </w:numPr>
              <w:rPr>
                <w:rFonts w:eastAsia="Times New Roman"/>
                <w:color w:val="000000"/>
              </w:rPr>
            </w:pPr>
            <w:r w:rsidRPr="00F35CD3">
              <w:rPr>
                <w:rFonts w:eastAsia="Times New Roman"/>
                <w:color w:val="000000"/>
              </w:rPr>
              <w:t xml:space="preserve">het aantal toetsen in het </w:t>
            </w:r>
            <w:r w:rsidR="00804723">
              <w:rPr>
                <w:rFonts w:eastAsia="Times New Roman"/>
                <w:color w:val="000000"/>
              </w:rPr>
              <w:t>SE</w:t>
            </w:r>
            <w:r w:rsidRPr="00F35CD3">
              <w:rPr>
                <w:rFonts w:eastAsia="Times New Roman"/>
                <w:color w:val="000000"/>
              </w:rPr>
              <w:t xml:space="preserve"> is per vak beperkt.</w:t>
            </w:r>
          </w:p>
          <w:p w14:paraId="27CB4CE5" w14:textId="7644E179" w:rsidR="008F25B2" w:rsidRPr="0079216A" w:rsidRDefault="008F25B2" w:rsidP="008F25B2">
            <w:pPr>
              <w:pStyle w:val="Geenafstand"/>
              <w:ind w:left="720"/>
              <w:rPr>
                <w:rFonts w:eastAsia="Times New Roman"/>
                <w:color w:val="000000"/>
              </w:rPr>
            </w:pPr>
          </w:p>
        </w:tc>
        <w:tc>
          <w:tcPr>
            <w:tcW w:w="352" w:type="pct"/>
          </w:tcPr>
          <w:p w14:paraId="3D51C6F5" w14:textId="22DBE5ED"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13AC5044"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0B7428B3"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5FD8F5E5" w14:textId="566568D9" w:rsidR="0040105D" w:rsidRPr="0079216A" w:rsidRDefault="0040105D" w:rsidP="00ED7907">
            <w:pPr>
              <w:spacing w:before="100" w:beforeAutospacing="1" w:after="100" w:afterAutospacing="1"/>
              <w:rPr>
                <w:rFonts w:eastAsia="Times New Roman"/>
                <w:color w:val="000000"/>
              </w:rPr>
            </w:pPr>
          </w:p>
        </w:tc>
      </w:tr>
      <w:tr w:rsidR="0040105D" w:rsidRPr="0079216A" w:rsidDel="00993C5A" w14:paraId="0D32FE57" w14:textId="78E27AA9" w:rsidTr="008F25B2">
        <w:trPr>
          <w:trHeight w:val="645"/>
        </w:trPr>
        <w:tc>
          <w:tcPr>
            <w:tcW w:w="1906" w:type="pct"/>
          </w:tcPr>
          <w:p w14:paraId="1FC0B5F5" w14:textId="386EF943" w:rsidR="008F25B2" w:rsidDel="00993C5A" w:rsidRDefault="0040105D" w:rsidP="008F25B2">
            <w:pPr>
              <w:shd w:val="clear" w:color="auto" w:fill="FFFFFF"/>
              <w:spacing w:before="100" w:beforeAutospacing="1" w:after="100" w:afterAutospacing="1"/>
              <w:rPr>
                <w:rFonts w:eastAsia="Times New Roman"/>
                <w:color w:val="000000"/>
              </w:rPr>
            </w:pPr>
            <w:r>
              <w:rPr>
                <w:rFonts w:eastAsia="Times New Roman"/>
                <w:color w:val="000000"/>
              </w:rPr>
              <w:t>Het geheel aan SE toetsen is dekkend voor de eindtermen van het betreffende vak</w:t>
            </w:r>
            <w:r>
              <w:rPr>
                <w:rStyle w:val="Voetnootmarkering"/>
                <w:rFonts w:eastAsia="Times New Roman"/>
                <w:color w:val="000000"/>
              </w:rPr>
              <w:footnoteReference w:id="2"/>
            </w:r>
            <w:r>
              <w:rPr>
                <w:rFonts w:eastAsia="Times New Roman"/>
                <w:color w:val="000000"/>
              </w:rPr>
              <w:t>.</w:t>
            </w:r>
          </w:p>
        </w:tc>
        <w:tc>
          <w:tcPr>
            <w:tcW w:w="352" w:type="pct"/>
          </w:tcPr>
          <w:p w14:paraId="3F1133A6" w14:textId="121D4E9D" w:rsidR="0040105D" w:rsidDel="00993C5A" w:rsidRDefault="00804723"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11F73143" w14:textId="77777777" w:rsidR="0040105D" w:rsidRPr="0079216A" w:rsidDel="00993C5A" w:rsidRDefault="0040105D" w:rsidP="00ED7907">
            <w:pPr>
              <w:spacing w:before="100" w:beforeAutospacing="1" w:after="100" w:afterAutospacing="1"/>
              <w:rPr>
                <w:rFonts w:eastAsia="Times New Roman"/>
                <w:color w:val="000000"/>
              </w:rPr>
            </w:pPr>
          </w:p>
        </w:tc>
        <w:tc>
          <w:tcPr>
            <w:tcW w:w="489" w:type="pct"/>
          </w:tcPr>
          <w:p w14:paraId="53299588" w14:textId="77777777" w:rsidR="0040105D" w:rsidRPr="0079216A" w:rsidDel="00993C5A" w:rsidRDefault="0040105D" w:rsidP="00ED7907">
            <w:pPr>
              <w:spacing w:before="100" w:beforeAutospacing="1" w:after="100" w:afterAutospacing="1"/>
              <w:rPr>
                <w:rFonts w:eastAsia="Times New Roman"/>
                <w:color w:val="000000"/>
              </w:rPr>
            </w:pPr>
          </w:p>
        </w:tc>
        <w:tc>
          <w:tcPr>
            <w:tcW w:w="1901" w:type="pct"/>
          </w:tcPr>
          <w:p w14:paraId="7D5A531A" w14:textId="77777777" w:rsidR="0040105D" w:rsidRPr="0079216A" w:rsidDel="00993C5A" w:rsidRDefault="0040105D" w:rsidP="00ED7907">
            <w:pPr>
              <w:spacing w:before="100" w:beforeAutospacing="1" w:after="100" w:afterAutospacing="1"/>
              <w:rPr>
                <w:rFonts w:eastAsia="Times New Roman"/>
                <w:color w:val="000000"/>
              </w:rPr>
            </w:pPr>
          </w:p>
        </w:tc>
      </w:tr>
      <w:tr w:rsidR="0040105D" w:rsidRPr="0079216A" w14:paraId="414259FC" w14:textId="4C626F09" w:rsidTr="008F25B2">
        <w:trPr>
          <w:trHeight w:val="711"/>
        </w:trPr>
        <w:tc>
          <w:tcPr>
            <w:tcW w:w="1906" w:type="pct"/>
          </w:tcPr>
          <w:p w14:paraId="7715C30A" w14:textId="718614AC" w:rsidR="0040105D" w:rsidRPr="0079216A" w:rsidRDefault="0040105D" w:rsidP="00F73348">
            <w:pPr>
              <w:shd w:val="clear" w:color="auto" w:fill="FFFFFF"/>
              <w:spacing w:before="100" w:beforeAutospacing="1" w:after="100" w:afterAutospacing="1"/>
              <w:rPr>
                <w:rFonts w:eastAsia="Times New Roman"/>
                <w:color w:val="000000"/>
              </w:rPr>
            </w:pPr>
            <w:r w:rsidRPr="00F73348">
              <w:rPr>
                <w:rFonts w:eastAsia="Times New Roman"/>
                <w:color w:val="000000"/>
              </w:rPr>
              <w:t xml:space="preserve">De inhoud van </w:t>
            </w:r>
            <w:r>
              <w:rPr>
                <w:rFonts w:eastAsia="Times New Roman"/>
                <w:color w:val="000000"/>
              </w:rPr>
              <w:t xml:space="preserve">de </w:t>
            </w:r>
            <w:r>
              <w:rPr>
                <w:rFonts w:eastAsia="Times New Roman"/>
                <w:color w:val="000000"/>
              </w:rPr>
              <w:t xml:space="preserve">SE </w:t>
            </w:r>
            <w:r>
              <w:rPr>
                <w:rFonts w:eastAsia="Times New Roman"/>
                <w:color w:val="000000"/>
              </w:rPr>
              <w:t>toetsen</w:t>
            </w:r>
            <w:r w:rsidRPr="00F73348">
              <w:rPr>
                <w:rFonts w:eastAsia="Times New Roman"/>
                <w:color w:val="000000"/>
              </w:rPr>
              <w:t xml:space="preserve"> </w:t>
            </w:r>
            <w:r>
              <w:rPr>
                <w:rFonts w:eastAsia="Times New Roman"/>
                <w:color w:val="000000"/>
              </w:rPr>
              <w:t>is</w:t>
            </w:r>
            <w:r w:rsidRPr="00F73348">
              <w:rPr>
                <w:rFonts w:eastAsia="Times New Roman"/>
                <w:color w:val="000000"/>
              </w:rPr>
              <w:t xml:space="preserve"> </w:t>
            </w:r>
            <w:r>
              <w:rPr>
                <w:rFonts w:eastAsia="Times New Roman"/>
                <w:color w:val="000000"/>
              </w:rPr>
              <w:t xml:space="preserve">helder </w:t>
            </w:r>
            <w:r>
              <w:rPr>
                <w:rFonts w:eastAsia="Times New Roman"/>
                <w:color w:val="000000"/>
              </w:rPr>
              <w:t>voor de leerlingen</w:t>
            </w:r>
            <w:r>
              <w:rPr>
                <w:rFonts w:eastAsia="Times New Roman"/>
                <w:color w:val="000000"/>
              </w:rPr>
              <w:t>.</w:t>
            </w:r>
          </w:p>
        </w:tc>
        <w:tc>
          <w:tcPr>
            <w:tcW w:w="352" w:type="pct"/>
          </w:tcPr>
          <w:p w14:paraId="18E83C63" w14:textId="783FB7D0"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54F4753C"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342DE316"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14EF74F5" w14:textId="1678D270" w:rsidR="0040105D" w:rsidRPr="0079216A" w:rsidRDefault="0040105D" w:rsidP="00ED7907">
            <w:pPr>
              <w:spacing w:before="100" w:beforeAutospacing="1" w:after="100" w:afterAutospacing="1"/>
              <w:rPr>
                <w:rFonts w:eastAsia="Times New Roman"/>
                <w:color w:val="000000"/>
              </w:rPr>
            </w:pPr>
          </w:p>
        </w:tc>
      </w:tr>
      <w:tr w:rsidR="0040105D" w:rsidRPr="0079216A" w14:paraId="551F2A1B" w14:textId="01948B83" w:rsidTr="008F25B2">
        <w:trPr>
          <w:trHeight w:val="678"/>
        </w:trPr>
        <w:tc>
          <w:tcPr>
            <w:tcW w:w="1906" w:type="pct"/>
          </w:tcPr>
          <w:p w14:paraId="72EE4105" w14:textId="774D47AB" w:rsidR="0040105D" w:rsidRDefault="0040105D" w:rsidP="00ED7907">
            <w:pPr>
              <w:shd w:val="clear" w:color="auto" w:fill="FFFFFF"/>
              <w:spacing w:before="100" w:beforeAutospacing="1" w:after="100" w:afterAutospacing="1"/>
              <w:rPr>
                <w:rFonts w:eastAsia="Times New Roman"/>
                <w:color w:val="000000"/>
              </w:rPr>
            </w:pPr>
            <w:r>
              <w:rPr>
                <w:rFonts w:eastAsia="Times New Roman"/>
                <w:color w:val="000000"/>
              </w:rPr>
              <w:t>Hoe de leerling zich kan voorbereiden op de toets is aangegeven</w:t>
            </w:r>
            <w:r w:rsidR="008F25B2">
              <w:rPr>
                <w:rFonts w:eastAsia="Times New Roman"/>
                <w:color w:val="000000"/>
              </w:rPr>
              <w:t xml:space="preserve"> (c.q. wat hij moet leren/doen)</w:t>
            </w:r>
            <w:r>
              <w:rPr>
                <w:rFonts w:eastAsia="Times New Roman"/>
                <w:color w:val="000000"/>
              </w:rPr>
              <w:t>.</w:t>
            </w:r>
          </w:p>
        </w:tc>
        <w:tc>
          <w:tcPr>
            <w:tcW w:w="352" w:type="pct"/>
          </w:tcPr>
          <w:p w14:paraId="39415766" w14:textId="77777777" w:rsidR="0040105D" w:rsidRDefault="0040105D" w:rsidP="00ED7907">
            <w:pPr>
              <w:spacing w:before="100" w:beforeAutospacing="1" w:after="100" w:afterAutospacing="1"/>
              <w:rPr>
                <w:rFonts w:eastAsia="Times New Roman"/>
                <w:color w:val="000000"/>
              </w:rPr>
            </w:pPr>
          </w:p>
        </w:tc>
        <w:tc>
          <w:tcPr>
            <w:tcW w:w="352" w:type="pct"/>
          </w:tcPr>
          <w:p w14:paraId="1AC2C431" w14:textId="6D7CA3E4"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489" w:type="pct"/>
          </w:tcPr>
          <w:p w14:paraId="3CED4100"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74E3757D" w14:textId="77777777" w:rsidR="0040105D" w:rsidRPr="0079216A" w:rsidRDefault="0040105D" w:rsidP="00ED7907">
            <w:pPr>
              <w:spacing w:before="100" w:beforeAutospacing="1" w:after="100" w:afterAutospacing="1"/>
              <w:rPr>
                <w:rFonts w:eastAsia="Times New Roman"/>
                <w:color w:val="000000"/>
              </w:rPr>
            </w:pPr>
          </w:p>
        </w:tc>
      </w:tr>
      <w:tr w:rsidR="0040105D" w:rsidRPr="0079216A" w14:paraId="0B76A2F3" w14:textId="2B7597C2" w:rsidTr="008F25B2">
        <w:trPr>
          <w:trHeight w:val="475"/>
        </w:trPr>
        <w:tc>
          <w:tcPr>
            <w:tcW w:w="1906" w:type="pct"/>
          </w:tcPr>
          <w:p w14:paraId="1FECEDE3" w14:textId="59938A88" w:rsidR="0040105D" w:rsidRPr="0079216A" w:rsidRDefault="0040105D" w:rsidP="0040105D">
            <w:pPr>
              <w:shd w:val="clear" w:color="auto" w:fill="FFFFFF"/>
              <w:spacing w:before="100" w:beforeAutospacing="1" w:after="100" w:afterAutospacing="1"/>
              <w:rPr>
                <w:rFonts w:eastAsia="Times New Roman"/>
                <w:color w:val="000000"/>
              </w:rPr>
            </w:pPr>
            <w:r>
              <w:rPr>
                <w:rFonts w:eastAsia="Times New Roman"/>
                <w:color w:val="000000"/>
              </w:rPr>
              <w:t>De</w:t>
            </w:r>
            <w:r w:rsidRPr="0079216A">
              <w:rPr>
                <w:rFonts w:eastAsia="Times New Roman"/>
                <w:color w:val="000000"/>
              </w:rPr>
              <w:t xml:space="preserve"> gekozen toetsvormen </w:t>
            </w:r>
            <w:r>
              <w:rPr>
                <w:rFonts w:eastAsia="Times New Roman"/>
                <w:color w:val="000000"/>
              </w:rPr>
              <w:t>zijn aangegeven.</w:t>
            </w:r>
          </w:p>
        </w:tc>
        <w:tc>
          <w:tcPr>
            <w:tcW w:w="352" w:type="pct"/>
          </w:tcPr>
          <w:p w14:paraId="5F6EF26F" w14:textId="3F248CF0"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39DA6C39"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0A93CFA6"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18D63AF1" w14:textId="5F6D9902" w:rsidR="0040105D" w:rsidRPr="0079216A" w:rsidRDefault="0040105D" w:rsidP="00ED7907">
            <w:pPr>
              <w:spacing w:before="100" w:beforeAutospacing="1" w:after="100" w:afterAutospacing="1"/>
              <w:rPr>
                <w:rFonts w:eastAsia="Times New Roman"/>
                <w:color w:val="000000"/>
              </w:rPr>
            </w:pPr>
          </w:p>
        </w:tc>
      </w:tr>
      <w:tr w:rsidR="0040105D" w:rsidRPr="0079216A" w14:paraId="5ED400A9" w14:textId="4B721CDD" w:rsidTr="008F25B2">
        <w:trPr>
          <w:trHeight w:val="708"/>
        </w:trPr>
        <w:tc>
          <w:tcPr>
            <w:tcW w:w="1906" w:type="pct"/>
          </w:tcPr>
          <w:p w14:paraId="162FB67D" w14:textId="699BD57B" w:rsidR="0040105D" w:rsidRDefault="0040105D" w:rsidP="0040105D">
            <w:pPr>
              <w:shd w:val="clear" w:color="auto" w:fill="FFFFFF"/>
              <w:spacing w:before="100" w:beforeAutospacing="1" w:after="100" w:afterAutospacing="1"/>
              <w:rPr>
                <w:rFonts w:eastAsia="Times New Roman"/>
                <w:color w:val="000000"/>
              </w:rPr>
            </w:pPr>
            <w:r>
              <w:rPr>
                <w:rFonts w:eastAsia="Times New Roman"/>
                <w:color w:val="000000"/>
              </w:rPr>
              <w:t xml:space="preserve">De gekozen toetsvormen zijn </w:t>
            </w:r>
            <w:r w:rsidRPr="008F01B4">
              <w:rPr>
                <w:rFonts w:eastAsia="Times New Roman"/>
                <w:color w:val="000000"/>
              </w:rPr>
              <w:t>passend bij de te toetsen eindtermen</w:t>
            </w:r>
            <w:r>
              <w:rPr>
                <w:rFonts w:eastAsia="Times New Roman"/>
                <w:color w:val="000000"/>
              </w:rPr>
              <w:t>.</w:t>
            </w:r>
          </w:p>
        </w:tc>
        <w:tc>
          <w:tcPr>
            <w:tcW w:w="352" w:type="pct"/>
          </w:tcPr>
          <w:p w14:paraId="3F78A34A" w14:textId="7E63363C"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04196F6B"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6D32B96B"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2B1186FE" w14:textId="6391D8B0" w:rsidR="0040105D" w:rsidRPr="0079216A" w:rsidRDefault="0040105D" w:rsidP="00ED7907">
            <w:pPr>
              <w:spacing w:before="100" w:beforeAutospacing="1" w:after="100" w:afterAutospacing="1"/>
              <w:rPr>
                <w:rFonts w:eastAsia="Times New Roman"/>
                <w:color w:val="000000"/>
              </w:rPr>
            </w:pPr>
          </w:p>
        </w:tc>
      </w:tr>
      <w:tr w:rsidR="0040105D" w:rsidRPr="0079216A" w14:paraId="281EBA42" w14:textId="2E963D41" w:rsidTr="008F25B2">
        <w:trPr>
          <w:trHeight w:val="492"/>
        </w:trPr>
        <w:tc>
          <w:tcPr>
            <w:tcW w:w="1906" w:type="pct"/>
          </w:tcPr>
          <w:p w14:paraId="26EB392D" w14:textId="54B71D09" w:rsidR="0040105D" w:rsidRDefault="0040105D" w:rsidP="00ED7907">
            <w:pPr>
              <w:shd w:val="clear" w:color="auto" w:fill="FFFFFF"/>
              <w:spacing w:before="100" w:beforeAutospacing="1" w:after="100" w:afterAutospacing="1"/>
              <w:rPr>
                <w:rFonts w:eastAsia="Times New Roman"/>
                <w:color w:val="000000"/>
              </w:rPr>
            </w:pPr>
            <w:r>
              <w:t>De tijdsduur van de toetsen is aangegeven.</w:t>
            </w:r>
          </w:p>
        </w:tc>
        <w:tc>
          <w:tcPr>
            <w:tcW w:w="352" w:type="pct"/>
          </w:tcPr>
          <w:p w14:paraId="28FD4027" w14:textId="43FDE5BC"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19A69E97"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76693DF7"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4139990B" w14:textId="4E0023C6" w:rsidR="0040105D" w:rsidRPr="0079216A" w:rsidRDefault="0040105D" w:rsidP="00ED7907">
            <w:pPr>
              <w:spacing w:before="100" w:beforeAutospacing="1" w:after="100" w:afterAutospacing="1"/>
              <w:rPr>
                <w:rFonts w:eastAsia="Times New Roman"/>
                <w:color w:val="000000"/>
              </w:rPr>
            </w:pPr>
          </w:p>
        </w:tc>
      </w:tr>
      <w:tr w:rsidR="0040105D" w:rsidRPr="0079216A" w14:paraId="117303FA" w14:textId="4AF05F86" w:rsidTr="008F25B2">
        <w:trPr>
          <w:trHeight w:val="698"/>
        </w:trPr>
        <w:tc>
          <w:tcPr>
            <w:tcW w:w="1906" w:type="pct"/>
          </w:tcPr>
          <w:p w14:paraId="2F3E9B3E" w14:textId="4F62FBEE" w:rsidR="0040105D" w:rsidRDefault="0040105D" w:rsidP="00ED7907">
            <w:pPr>
              <w:shd w:val="clear" w:color="auto" w:fill="FFFFFF"/>
              <w:spacing w:before="100" w:beforeAutospacing="1" w:after="100" w:afterAutospacing="1"/>
            </w:pPr>
            <w:r>
              <w:lastRenderedPageBreak/>
              <w:t>Het tijdvak (de periode) waarbinnen de toetsen worden afgenomen is aangegeven.</w:t>
            </w:r>
          </w:p>
        </w:tc>
        <w:tc>
          <w:tcPr>
            <w:tcW w:w="352" w:type="pct"/>
          </w:tcPr>
          <w:p w14:paraId="0FD66761" w14:textId="4C1E5DB6"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0FC19B64"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14B452F4"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76CD0631" w14:textId="3E7B212B" w:rsidR="0040105D" w:rsidRPr="0079216A" w:rsidRDefault="0040105D" w:rsidP="00ED7907">
            <w:pPr>
              <w:spacing w:before="100" w:beforeAutospacing="1" w:after="100" w:afterAutospacing="1"/>
              <w:rPr>
                <w:rFonts w:eastAsia="Times New Roman"/>
                <w:color w:val="000000"/>
              </w:rPr>
            </w:pPr>
          </w:p>
        </w:tc>
      </w:tr>
      <w:tr w:rsidR="0040105D" w:rsidRPr="0079216A" w14:paraId="083F3EFA" w14:textId="08FDB956" w:rsidTr="008F25B2">
        <w:trPr>
          <w:trHeight w:val="699"/>
        </w:trPr>
        <w:tc>
          <w:tcPr>
            <w:tcW w:w="1906" w:type="pct"/>
          </w:tcPr>
          <w:p w14:paraId="65B9FE0A" w14:textId="7EC77AE5" w:rsidR="0040105D" w:rsidRPr="00FE2AEA" w:rsidRDefault="0040105D" w:rsidP="00ED7907">
            <w:pPr>
              <w:shd w:val="clear" w:color="auto" w:fill="FFFFFF"/>
              <w:spacing w:before="100" w:beforeAutospacing="1" w:after="100" w:afterAutospacing="1"/>
              <w:rPr>
                <w:rFonts w:eastAsia="Times New Roman"/>
                <w:strike/>
                <w:color w:val="000000"/>
              </w:rPr>
            </w:pPr>
            <w:r>
              <w:t>De weging</w:t>
            </w:r>
            <w:r w:rsidR="00804723">
              <w:t xml:space="preserve"> </w:t>
            </w:r>
            <w:r>
              <w:t xml:space="preserve">van de </w:t>
            </w:r>
            <w:r>
              <w:t xml:space="preserve">afzonderlijke SE </w:t>
            </w:r>
            <w:r>
              <w:t xml:space="preserve">toetsen </w:t>
            </w:r>
            <w:r w:rsidR="00804723">
              <w:t xml:space="preserve">is helder </w:t>
            </w:r>
            <w:r>
              <w:t>aangegeven.</w:t>
            </w:r>
          </w:p>
        </w:tc>
        <w:tc>
          <w:tcPr>
            <w:tcW w:w="352" w:type="pct"/>
          </w:tcPr>
          <w:p w14:paraId="2B53AA90" w14:textId="5969D507"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30354FB2"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5D6C7837"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12594399" w14:textId="64DF166E" w:rsidR="0040105D" w:rsidRPr="0079216A" w:rsidRDefault="0040105D" w:rsidP="00ED7907">
            <w:pPr>
              <w:spacing w:before="100" w:beforeAutospacing="1" w:after="100" w:afterAutospacing="1"/>
              <w:rPr>
                <w:rFonts w:eastAsia="Times New Roman"/>
                <w:color w:val="000000"/>
              </w:rPr>
            </w:pPr>
          </w:p>
        </w:tc>
      </w:tr>
      <w:tr w:rsidR="008F25B2" w:rsidRPr="0079216A" w14:paraId="528B6CA8" w14:textId="77777777" w:rsidTr="008F25B2">
        <w:trPr>
          <w:trHeight w:val="691"/>
        </w:trPr>
        <w:tc>
          <w:tcPr>
            <w:tcW w:w="1906" w:type="pct"/>
          </w:tcPr>
          <w:p w14:paraId="431EA192" w14:textId="286EA42E" w:rsidR="008F25B2" w:rsidRPr="0079216A" w:rsidRDefault="008F25B2" w:rsidP="008F25B2">
            <w:pPr>
              <w:shd w:val="clear" w:color="auto" w:fill="FFFFFF"/>
              <w:spacing w:before="100" w:beforeAutospacing="1" w:after="100" w:afterAutospacing="1"/>
              <w:rPr>
                <w:rFonts w:eastAsia="Times New Roman"/>
                <w:color w:val="000000"/>
              </w:rPr>
            </w:pPr>
            <w:r>
              <w:rPr>
                <w:rFonts w:eastAsia="Times New Roman"/>
                <w:color w:val="000000"/>
              </w:rPr>
              <w:t xml:space="preserve">De weging van de </w:t>
            </w:r>
            <w:r w:rsidR="00804723">
              <w:rPr>
                <w:rFonts w:eastAsia="Times New Roman"/>
                <w:color w:val="000000"/>
              </w:rPr>
              <w:t xml:space="preserve">afzonderlijke </w:t>
            </w:r>
            <w:r>
              <w:rPr>
                <w:rFonts w:eastAsia="Times New Roman"/>
                <w:color w:val="000000"/>
              </w:rPr>
              <w:t xml:space="preserve">SE toetsen is gebaseerd op de door de school bepaalde </w:t>
            </w:r>
            <w:r>
              <w:rPr>
                <w:rFonts w:eastAsia="Times New Roman"/>
                <w:color w:val="000000"/>
              </w:rPr>
              <w:t>criteria</w:t>
            </w:r>
            <w:r>
              <w:rPr>
                <w:rFonts w:eastAsia="Times New Roman"/>
                <w:color w:val="000000"/>
              </w:rPr>
              <w:t xml:space="preserve">. </w:t>
            </w:r>
          </w:p>
        </w:tc>
        <w:tc>
          <w:tcPr>
            <w:tcW w:w="352" w:type="pct"/>
          </w:tcPr>
          <w:p w14:paraId="09293F73" w14:textId="77777777" w:rsidR="008F25B2" w:rsidRPr="0079216A" w:rsidRDefault="008F25B2" w:rsidP="005577F0">
            <w:pPr>
              <w:spacing w:before="100" w:beforeAutospacing="1" w:after="100" w:afterAutospacing="1"/>
              <w:rPr>
                <w:rFonts w:eastAsia="Times New Roman"/>
                <w:color w:val="000000"/>
              </w:rPr>
            </w:pPr>
          </w:p>
        </w:tc>
        <w:tc>
          <w:tcPr>
            <w:tcW w:w="352" w:type="pct"/>
          </w:tcPr>
          <w:p w14:paraId="0E73D75A" w14:textId="77777777" w:rsidR="008F25B2" w:rsidRPr="0079216A" w:rsidRDefault="008F25B2" w:rsidP="005577F0">
            <w:pPr>
              <w:spacing w:before="100" w:beforeAutospacing="1" w:after="100" w:afterAutospacing="1"/>
              <w:rPr>
                <w:rFonts w:eastAsia="Times New Roman"/>
                <w:color w:val="000000"/>
              </w:rPr>
            </w:pPr>
            <w:r>
              <w:rPr>
                <w:rFonts w:eastAsia="Times New Roman"/>
                <w:color w:val="000000"/>
              </w:rPr>
              <w:t>X</w:t>
            </w:r>
          </w:p>
        </w:tc>
        <w:tc>
          <w:tcPr>
            <w:tcW w:w="489" w:type="pct"/>
          </w:tcPr>
          <w:p w14:paraId="0D19507F" w14:textId="77777777" w:rsidR="008F25B2" w:rsidRPr="0079216A" w:rsidRDefault="008F25B2" w:rsidP="005577F0">
            <w:pPr>
              <w:spacing w:before="100" w:beforeAutospacing="1" w:after="100" w:afterAutospacing="1"/>
              <w:rPr>
                <w:rFonts w:eastAsia="Times New Roman"/>
                <w:color w:val="000000"/>
              </w:rPr>
            </w:pPr>
          </w:p>
        </w:tc>
        <w:tc>
          <w:tcPr>
            <w:tcW w:w="1901" w:type="pct"/>
          </w:tcPr>
          <w:p w14:paraId="1F31BF7A" w14:textId="77777777" w:rsidR="008F25B2" w:rsidRPr="0079216A" w:rsidRDefault="008F25B2" w:rsidP="005577F0">
            <w:pPr>
              <w:spacing w:before="100" w:beforeAutospacing="1" w:after="100" w:afterAutospacing="1"/>
              <w:rPr>
                <w:rFonts w:eastAsia="Times New Roman"/>
                <w:color w:val="000000"/>
              </w:rPr>
            </w:pPr>
          </w:p>
        </w:tc>
      </w:tr>
      <w:tr w:rsidR="0040105D" w:rsidRPr="0079216A" w14:paraId="46A93A35" w14:textId="3471A21F" w:rsidTr="008F25B2">
        <w:trPr>
          <w:trHeight w:val="691"/>
        </w:trPr>
        <w:tc>
          <w:tcPr>
            <w:tcW w:w="1906" w:type="pct"/>
          </w:tcPr>
          <w:p w14:paraId="7DA1EA39" w14:textId="61ED48DF" w:rsidR="008F25B2" w:rsidRDefault="0040105D" w:rsidP="008F25B2">
            <w:pPr>
              <w:shd w:val="clear" w:color="auto" w:fill="FFFFFF"/>
              <w:spacing w:before="100" w:beforeAutospacing="1" w:after="100" w:afterAutospacing="1"/>
            </w:pPr>
            <w:r>
              <w:t>De</w:t>
            </w:r>
            <w:r w:rsidRPr="00026197">
              <w:t xml:space="preserve"> regels voor de wijze waarop het </w:t>
            </w:r>
            <w:r w:rsidR="00804723">
              <w:t>eind</w:t>
            </w:r>
            <w:r w:rsidRPr="00026197">
              <w:t xml:space="preserve">cijfer voor het </w:t>
            </w:r>
            <w:r w:rsidR="00804723">
              <w:t>SE</w:t>
            </w:r>
            <w:r w:rsidRPr="00026197">
              <w:t xml:space="preserve"> tot stand komt </w:t>
            </w:r>
            <w:r>
              <w:t>is aangegeven</w:t>
            </w:r>
            <w:r w:rsidRPr="00026197">
              <w:t>.</w:t>
            </w:r>
          </w:p>
        </w:tc>
        <w:tc>
          <w:tcPr>
            <w:tcW w:w="352" w:type="pct"/>
          </w:tcPr>
          <w:p w14:paraId="47A39168" w14:textId="30B2E0E1"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5BA0E620"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0A60B8B2"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10419D48" w14:textId="254CB24B" w:rsidR="0040105D" w:rsidRPr="0079216A" w:rsidRDefault="0040105D" w:rsidP="00ED7907">
            <w:pPr>
              <w:spacing w:before="100" w:beforeAutospacing="1" w:after="100" w:afterAutospacing="1"/>
              <w:rPr>
                <w:rFonts w:eastAsia="Times New Roman"/>
                <w:color w:val="000000"/>
              </w:rPr>
            </w:pPr>
          </w:p>
        </w:tc>
      </w:tr>
      <w:tr w:rsidR="0040105D" w:rsidRPr="0079216A" w14:paraId="3B7767E0" w14:textId="76382D39" w:rsidTr="008F25B2">
        <w:trPr>
          <w:trHeight w:val="701"/>
        </w:trPr>
        <w:tc>
          <w:tcPr>
            <w:tcW w:w="1906" w:type="pct"/>
          </w:tcPr>
          <w:p w14:paraId="15C78FB1" w14:textId="3364A926" w:rsidR="008F25B2" w:rsidRPr="0079216A" w:rsidRDefault="0040105D" w:rsidP="00ED7907">
            <w:pPr>
              <w:shd w:val="clear" w:color="auto" w:fill="FFFFFF"/>
              <w:spacing w:before="100" w:beforeAutospacing="1" w:after="100" w:afterAutospacing="1"/>
              <w:rPr>
                <w:rFonts w:eastAsia="Times New Roman"/>
                <w:color w:val="000000"/>
              </w:rPr>
            </w:pPr>
            <w:r>
              <w:rPr>
                <w:rFonts w:eastAsia="Times New Roman"/>
                <w:color w:val="000000"/>
              </w:rPr>
              <w:t xml:space="preserve">Per </w:t>
            </w:r>
            <w:r w:rsidR="00804723">
              <w:rPr>
                <w:rFonts w:eastAsia="Times New Roman"/>
                <w:color w:val="000000"/>
              </w:rPr>
              <w:t xml:space="preserve">SE </w:t>
            </w:r>
            <w:r>
              <w:rPr>
                <w:rFonts w:eastAsia="Times New Roman"/>
                <w:color w:val="000000"/>
              </w:rPr>
              <w:t>toets is aangegeven of deze herkanst mag worden.</w:t>
            </w:r>
            <w:r w:rsidRPr="0079216A">
              <w:rPr>
                <w:rFonts w:eastAsia="Times New Roman"/>
                <w:color w:val="000000"/>
              </w:rPr>
              <w:t xml:space="preserve"> </w:t>
            </w:r>
          </w:p>
        </w:tc>
        <w:tc>
          <w:tcPr>
            <w:tcW w:w="352" w:type="pct"/>
          </w:tcPr>
          <w:p w14:paraId="23E0401C" w14:textId="1D3260A8"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705657E9"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28F51165"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49F300A1" w14:textId="3B9A4926" w:rsidR="0040105D" w:rsidRPr="0079216A" w:rsidRDefault="0040105D" w:rsidP="00ED7907">
            <w:pPr>
              <w:spacing w:before="100" w:beforeAutospacing="1" w:after="100" w:afterAutospacing="1"/>
              <w:rPr>
                <w:rFonts w:eastAsia="Times New Roman"/>
                <w:color w:val="000000"/>
              </w:rPr>
            </w:pPr>
          </w:p>
        </w:tc>
      </w:tr>
      <w:tr w:rsidR="0040105D" w:rsidRPr="0079216A" w14:paraId="5A074C2E" w14:textId="7FE21545" w:rsidTr="00804723">
        <w:trPr>
          <w:trHeight w:val="706"/>
        </w:trPr>
        <w:tc>
          <w:tcPr>
            <w:tcW w:w="1906" w:type="pct"/>
          </w:tcPr>
          <w:p w14:paraId="3F367248" w14:textId="35C1B4CC" w:rsidR="00804723" w:rsidRDefault="0040105D" w:rsidP="00804723">
            <w:pPr>
              <w:shd w:val="clear" w:color="auto" w:fill="FFFFFF"/>
              <w:spacing w:before="100" w:beforeAutospacing="1" w:after="100" w:afterAutospacing="1"/>
              <w:rPr>
                <w:rFonts w:eastAsia="Times New Roman"/>
                <w:color w:val="000000"/>
              </w:rPr>
            </w:pPr>
            <w:r>
              <w:t xml:space="preserve">De wijze van herkansen </w:t>
            </w:r>
            <w:r w:rsidR="00804723">
              <w:t xml:space="preserve">van de SE toetsen </w:t>
            </w:r>
            <w:r>
              <w:t>is vermeld.</w:t>
            </w:r>
          </w:p>
        </w:tc>
        <w:tc>
          <w:tcPr>
            <w:tcW w:w="352" w:type="pct"/>
          </w:tcPr>
          <w:p w14:paraId="26CB0322" w14:textId="2FBDBE18"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5543F40F"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5E639254"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2AF6D2F2" w14:textId="5CA91A52" w:rsidR="0040105D" w:rsidRPr="0079216A" w:rsidRDefault="0040105D" w:rsidP="00ED7907">
            <w:pPr>
              <w:spacing w:before="100" w:beforeAutospacing="1" w:after="100" w:afterAutospacing="1"/>
              <w:rPr>
                <w:rFonts w:eastAsia="Times New Roman"/>
                <w:color w:val="000000"/>
              </w:rPr>
            </w:pPr>
          </w:p>
        </w:tc>
      </w:tr>
      <w:tr w:rsidR="0040105D" w:rsidRPr="0079216A" w14:paraId="6241657E" w14:textId="684E0BEA" w:rsidTr="00804723">
        <w:trPr>
          <w:trHeight w:val="843"/>
        </w:trPr>
        <w:tc>
          <w:tcPr>
            <w:tcW w:w="1906" w:type="pct"/>
          </w:tcPr>
          <w:p w14:paraId="0A54A0F5" w14:textId="7FF5253D" w:rsidR="00804723" w:rsidRDefault="0040105D" w:rsidP="00804723">
            <w:pPr>
              <w:shd w:val="clear" w:color="auto" w:fill="FFFFFF"/>
              <w:spacing w:before="100" w:beforeAutospacing="1" w:after="100" w:afterAutospacing="1"/>
              <w:rPr>
                <w:rFonts w:eastAsia="Times New Roman"/>
                <w:color w:val="000000"/>
              </w:rPr>
            </w:pPr>
            <w:r>
              <w:rPr>
                <w:rFonts w:eastAsia="Times New Roman"/>
                <w:color w:val="000000"/>
              </w:rPr>
              <w:t>De beslissing of een toets herkanst mag worden is gebaseerd op de herkansingsregeling van de school.</w:t>
            </w:r>
          </w:p>
        </w:tc>
        <w:tc>
          <w:tcPr>
            <w:tcW w:w="352" w:type="pct"/>
          </w:tcPr>
          <w:p w14:paraId="6BAF9B56" w14:textId="5A0FEB2B"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208D27ED"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4B81B218"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6E63382C" w14:textId="2CF198DA" w:rsidR="0040105D" w:rsidRPr="0079216A" w:rsidRDefault="0040105D" w:rsidP="00ED7907">
            <w:pPr>
              <w:spacing w:before="100" w:beforeAutospacing="1" w:after="100" w:afterAutospacing="1"/>
              <w:rPr>
                <w:rFonts w:eastAsia="Times New Roman"/>
                <w:color w:val="000000"/>
              </w:rPr>
            </w:pPr>
          </w:p>
        </w:tc>
      </w:tr>
      <w:tr w:rsidR="0040105D" w:rsidRPr="0079216A" w14:paraId="4F11919F" w14:textId="54B36D98" w:rsidTr="00804723">
        <w:trPr>
          <w:trHeight w:val="700"/>
        </w:trPr>
        <w:tc>
          <w:tcPr>
            <w:tcW w:w="1906" w:type="pct"/>
          </w:tcPr>
          <w:p w14:paraId="39A93D70" w14:textId="2CE6E526" w:rsidR="0040105D" w:rsidRPr="0079216A" w:rsidRDefault="0040105D" w:rsidP="00ED7907">
            <w:pPr>
              <w:shd w:val="clear" w:color="auto" w:fill="FFFFFF"/>
              <w:spacing w:before="100" w:beforeAutospacing="1" w:after="100" w:afterAutospacing="1"/>
              <w:rPr>
                <w:rFonts w:eastAsia="Times New Roman"/>
                <w:color w:val="000000"/>
              </w:rPr>
            </w:pPr>
            <w:r>
              <w:t>De periode waarbinnen de toetsen herkanst mogen worden is aangegeven.</w:t>
            </w:r>
          </w:p>
        </w:tc>
        <w:tc>
          <w:tcPr>
            <w:tcW w:w="352" w:type="pct"/>
          </w:tcPr>
          <w:p w14:paraId="2CA6B580" w14:textId="608143B9"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352" w:type="pct"/>
          </w:tcPr>
          <w:p w14:paraId="60E86903" w14:textId="77777777" w:rsidR="0040105D" w:rsidRPr="0079216A" w:rsidRDefault="0040105D" w:rsidP="00ED7907">
            <w:pPr>
              <w:spacing w:before="100" w:beforeAutospacing="1" w:after="100" w:afterAutospacing="1"/>
              <w:rPr>
                <w:rFonts w:eastAsia="Times New Roman"/>
                <w:color w:val="000000"/>
              </w:rPr>
            </w:pPr>
          </w:p>
        </w:tc>
        <w:tc>
          <w:tcPr>
            <w:tcW w:w="489" w:type="pct"/>
          </w:tcPr>
          <w:p w14:paraId="39D039E7"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0C7D2492" w14:textId="499A26D3" w:rsidR="0040105D" w:rsidRPr="0079216A" w:rsidRDefault="0040105D" w:rsidP="00ED7907">
            <w:pPr>
              <w:spacing w:before="100" w:beforeAutospacing="1" w:after="100" w:afterAutospacing="1"/>
              <w:rPr>
                <w:rFonts w:eastAsia="Times New Roman"/>
                <w:color w:val="000000"/>
              </w:rPr>
            </w:pPr>
          </w:p>
        </w:tc>
      </w:tr>
      <w:tr w:rsidR="0040105D" w:rsidRPr="0079216A" w14:paraId="0A76DAF9" w14:textId="270BADAE" w:rsidTr="00804723">
        <w:trPr>
          <w:trHeight w:val="696"/>
        </w:trPr>
        <w:tc>
          <w:tcPr>
            <w:tcW w:w="1906" w:type="pct"/>
          </w:tcPr>
          <w:p w14:paraId="4B74ADEB" w14:textId="19EBFB34" w:rsidR="0040105D" w:rsidRPr="0079216A" w:rsidRDefault="0040105D" w:rsidP="00ED7907">
            <w:pPr>
              <w:shd w:val="clear" w:color="auto" w:fill="FFFFFF"/>
              <w:spacing w:before="100" w:beforeAutospacing="1" w:after="100" w:afterAutospacing="1"/>
              <w:rPr>
                <w:rFonts w:eastAsia="Times New Roman"/>
                <w:color w:val="000000"/>
              </w:rPr>
            </w:pPr>
            <w:r>
              <w:rPr>
                <w:rFonts w:eastAsia="Times New Roman"/>
                <w:color w:val="000000"/>
              </w:rPr>
              <w:t>Het totaal van de toetsen is</w:t>
            </w:r>
            <w:r w:rsidRPr="0079216A">
              <w:rPr>
                <w:rFonts w:eastAsia="Times New Roman"/>
                <w:color w:val="000000"/>
              </w:rPr>
              <w:t xml:space="preserve"> organiseerbaar (</w:t>
            </w:r>
            <w:r>
              <w:rPr>
                <w:rFonts w:eastAsia="Times New Roman"/>
                <w:color w:val="000000"/>
              </w:rPr>
              <w:t xml:space="preserve">inzet personeel, </w:t>
            </w:r>
            <w:r w:rsidRPr="0079216A">
              <w:rPr>
                <w:rFonts w:eastAsia="Times New Roman"/>
                <w:color w:val="000000"/>
              </w:rPr>
              <w:t>vereiste materialen, ruimte</w:t>
            </w:r>
            <w:r>
              <w:rPr>
                <w:rFonts w:eastAsia="Times New Roman"/>
                <w:color w:val="000000"/>
              </w:rPr>
              <w:t xml:space="preserve">, </w:t>
            </w:r>
            <w:r w:rsidRPr="0079216A">
              <w:rPr>
                <w:rFonts w:eastAsia="Times New Roman"/>
                <w:color w:val="000000"/>
              </w:rPr>
              <w:t>e.d.)</w:t>
            </w:r>
          </w:p>
        </w:tc>
        <w:tc>
          <w:tcPr>
            <w:tcW w:w="352" w:type="pct"/>
          </w:tcPr>
          <w:p w14:paraId="5640DD06" w14:textId="77777777" w:rsidR="0040105D" w:rsidRPr="0079216A" w:rsidRDefault="0040105D" w:rsidP="00ED7907">
            <w:pPr>
              <w:spacing w:before="100" w:beforeAutospacing="1" w:after="100" w:afterAutospacing="1"/>
              <w:rPr>
                <w:rFonts w:eastAsia="Times New Roman"/>
                <w:color w:val="000000"/>
              </w:rPr>
            </w:pPr>
          </w:p>
        </w:tc>
        <w:tc>
          <w:tcPr>
            <w:tcW w:w="352" w:type="pct"/>
          </w:tcPr>
          <w:p w14:paraId="77978283" w14:textId="55C4230B" w:rsidR="0040105D" w:rsidRPr="0079216A" w:rsidRDefault="0040105D" w:rsidP="00ED7907">
            <w:pPr>
              <w:spacing w:before="100" w:beforeAutospacing="1" w:after="100" w:afterAutospacing="1"/>
              <w:rPr>
                <w:rFonts w:eastAsia="Times New Roman"/>
                <w:color w:val="000000"/>
              </w:rPr>
            </w:pPr>
            <w:r>
              <w:rPr>
                <w:rFonts w:eastAsia="Times New Roman"/>
                <w:color w:val="000000"/>
              </w:rPr>
              <w:t>X</w:t>
            </w:r>
          </w:p>
        </w:tc>
        <w:tc>
          <w:tcPr>
            <w:tcW w:w="489" w:type="pct"/>
          </w:tcPr>
          <w:p w14:paraId="24ED3793"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45729947" w14:textId="06166A00" w:rsidR="0040105D" w:rsidRPr="0079216A" w:rsidRDefault="0040105D" w:rsidP="00ED7907">
            <w:pPr>
              <w:spacing w:before="100" w:beforeAutospacing="1" w:after="100" w:afterAutospacing="1"/>
              <w:rPr>
                <w:rFonts w:eastAsia="Times New Roman"/>
                <w:color w:val="000000"/>
              </w:rPr>
            </w:pPr>
          </w:p>
        </w:tc>
      </w:tr>
      <w:tr w:rsidR="0040105D" w:rsidRPr="0079216A" w14:paraId="1538BE69" w14:textId="18983A28" w:rsidTr="008F25B2">
        <w:tc>
          <w:tcPr>
            <w:tcW w:w="1906" w:type="pct"/>
          </w:tcPr>
          <w:p w14:paraId="29A317EF" w14:textId="6EC1A996" w:rsidR="0040105D" w:rsidRDefault="0040105D" w:rsidP="00ED7907">
            <w:pPr>
              <w:shd w:val="clear" w:color="auto" w:fill="FFFFFF"/>
              <w:spacing w:before="100" w:beforeAutospacing="1" w:after="100" w:afterAutospacing="1"/>
              <w:rPr>
                <w:rFonts w:eastAsia="Times New Roman"/>
                <w:color w:val="000000"/>
              </w:rPr>
            </w:pPr>
            <w:r>
              <w:rPr>
                <w:rFonts w:eastAsia="Times New Roman"/>
                <w:color w:val="000000"/>
              </w:rPr>
              <w:t xml:space="preserve">De totale toetstijd (voorbereiden, afname en feedback) is voor de leerlingen </w:t>
            </w:r>
            <w:r>
              <w:rPr>
                <w:rFonts w:eastAsia="Times New Roman"/>
                <w:color w:val="000000"/>
              </w:rPr>
              <w:t>uitvoerbaar (daarbij is afstemming tussen de vakken op school)</w:t>
            </w:r>
            <w:r>
              <w:rPr>
                <w:rFonts w:eastAsia="Times New Roman"/>
                <w:color w:val="000000"/>
              </w:rPr>
              <w:t>.</w:t>
            </w:r>
            <w:r>
              <w:rPr>
                <w:rFonts w:eastAsia="Times New Roman"/>
                <w:color w:val="000000"/>
              </w:rPr>
              <w:t xml:space="preserve"> </w:t>
            </w:r>
          </w:p>
        </w:tc>
        <w:tc>
          <w:tcPr>
            <w:tcW w:w="352" w:type="pct"/>
          </w:tcPr>
          <w:p w14:paraId="70D9FEFE" w14:textId="77777777" w:rsidR="0040105D" w:rsidRPr="0079216A" w:rsidRDefault="0040105D" w:rsidP="00ED7907">
            <w:pPr>
              <w:spacing w:before="100" w:beforeAutospacing="1" w:after="100" w:afterAutospacing="1"/>
              <w:rPr>
                <w:rFonts w:eastAsia="Times New Roman"/>
                <w:color w:val="000000"/>
              </w:rPr>
            </w:pPr>
          </w:p>
        </w:tc>
        <w:tc>
          <w:tcPr>
            <w:tcW w:w="352" w:type="pct"/>
          </w:tcPr>
          <w:p w14:paraId="761847F0" w14:textId="79529938" w:rsidR="0040105D" w:rsidRDefault="0040105D" w:rsidP="00ED7907">
            <w:pPr>
              <w:spacing w:before="100" w:beforeAutospacing="1" w:after="100" w:afterAutospacing="1"/>
              <w:rPr>
                <w:rFonts w:eastAsia="Times New Roman"/>
                <w:color w:val="000000"/>
              </w:rPr>
            </w:pPr>
            <w:r>
              <w:rPr>
                <w:rFonts w:eastAsia="Times New Roman"/>
                <w:color w:val="000000"/>
              </w:rPr>
              <w:t>X</w:t>
            </w:r>
          </w:p>
        </w:tc>
        <w:tc>
          <w:tcPr>
            <w:tcW w:w="489" w:type="pct"/>
          </w:tcPr>
          <w:p w14:paraId="1C8CB129"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5C7525D2" w14:textId="77777777" w:rsidR="0040105D" w:rsidRPr="0079216A" w:rsidRDefault="0040105D" w:rsidP="00ED7907">
            <w:pPr>
              <w:spacing w:before="100" w:beforeAutospacing="1" w:after="100" w:afterAutospacing="1"/>
              <w:rPr>
                <w:rFonts w:eastAsia="Times New Roman"/>
                <w:color w:val="000000"/>
              </w:rPr>
            </w:pPr>
          </w:p>
        </w:tc>
      </w:tr>
      <w:tr w:rsidR="0040105D" w:rsidRPr="0079216A" w14:paraId="59E50C89" w14:textId="321975B0" w:rsidTr="008F25B2">
        <w:tc>
          <w:tcPr>
            <w:tcW w:w="1906" w:type="pct"/>
          </w:tcPr>
          <w:p w14:paraId="1E848E33" w14:textId="0757EF47" w:rsidR="0040105D" w:rsidRDefault="0040105D" w:rsidP="008A0AB6">
            <w:pPr>
              <w:pStyle w:val="Geenafstand"/>
            </w:pPr>
            <w:r>
              <w:t xml:space="preserve">De </w:t>
            </w:r>
            <w:r w:rsidR="00804723">
              <w:t xml:space="preserve">te toetsen </w:t>
            </w:r>
            <w:r>
              <w:t>(sub)domeinen/exameneenheden/eindtermen/</w:t>
            </w:r>
          </w:p>
          <w:p w14:paraId="0B0374F4" w14:textId="66E936AB" w:rsidR="0040105D" w:rsidRPr="0079216A" w:rsidRDefault="0040105D" w:rsidP="008A0AB6">
            <w:pPr>
              <w:pStyle w:val="Geenafstand"/>
            </w:pPr>
            <w:r>
              <w:t>(deel)taken</w:t>
            </w:r>
            <w:r w:rsidRPr="0079216A">
              <w:t xml:space="preserve"> </w:t>
            </w:r>
            <w:r>
              <w:t>zijn</w:t>
            </w:r>
            <w:r w:rsidRPr="0079216A">
              <w:t xml:space="preserve"> evenwichtig verdeeld</w:t>
            </w:r>
            <w:r>
              <w:t xml:space="preserve"> </w:t>
            </w:r>
            <w:r w:rsidRPr="0079216A">
              <w:t>over de PTA</w:t>
            </w:r>
            <w:r>
              <w:t>-</w:t>
            </w:r>
            <w:r w:rsidRPr="0079216A">
              <w:t xml:space="preserve"> periodes</w:t>
            </w:r>
            <w:r>
              <w:t xml:space="preserve"> en de afzonderlijke toetsen.</w:t>
            </w:r>
          </w:p>
        </w:tc>
        <w:tc>
          <w:tcPr>
            <w:tcW w:w="352" w:type="pct"/>
          </w:tcPr>
          <w:p w14:paraId="1EAA7708" w14:textId="77777777" w:rsidR="0040105D" w:rsidRPr="0079216A" w:rsidRDefault="0040105D" w:rsidP="008A0AB6">
            <w:pPr>
              <w:spacing w:before="100" w:beforeAutospacing="1" w:after="100" w:afterAutospacing="1"/>
              <w:rPr>
                <w:rFonts w:eastAsia="Times New Roman"/>
                <w:color w:val="000000"/>
              </w:rPr>
            </w:pPr>
          </w:p>
        </w:tc>
        <w:tc>
          <w:tcPr>
            <w:tcW w:w="352" w:type="pct"/>
          </w:tcPr>
          <w:p w14:paraId="359CC2AC" w14:textId="4058B43D" w:rsidR="0040105D" w:rsidRPr="0079216A" w:rsidRDefault="00804723" w:rsidP="008A0AB6">
            <w:pPr>
              <w:spacing w:before="100" w:beforeAutospacing="1" w:after="100" w:afterAutospacing="1"/>
              <w:rPr>
                <w:rFonts w:eastAsia="Times New Roman"/>
                <w:color w:val="000000"/>
              </w:rPr>
            </w:pPr>
            <w:r>
              <w:rPr>
                <w:rFonts w:eastAsia="Times New Roman"/>
                <w:color w:val="000000"/>
              </w:rPr>
              <w:t>X</w:t>
            </w:r>
          </w:p>
        </w:tc>
        <w:tc>
          <w:tcPr>
            <w:tcW w:w="489" w:type="pct"/>
          </w:tcPr>
          <w:p w14:paraId="4C48309A" w14:textId="77777777" w:rsidR="0040105D" w:rsidRPr="0079216A" w:rsidRDefault="0040105D" w:rsidP="008A0AB6">
            <w:pPr>
              <w:spacing w:before="100" w:beforeAutospacing="1" w:after="100" w:afterAutospacing="1"/>
              <w:rPr>
                <w:rFonts w:eastAsia="Times New Roman"/>
                <w:color w:val="000000"/>
              </w:rPr>
            </w:pPr>
          </w:p>
        </w:tc>
        <w:tc>
          <w:tcPr>
            <w:tcW w:w="1901" w:type="pct"/>
          </w:tcPr>
          <w:p w14:paraId="354AC3A2" w14:textId="3B79D75F" w:rsidR="0040105D" w:rsidRPr="0079216A" w:rsidRDefault="0040105D" w:rsidP="008A0AB6">
            <w:pPr>
              <w:spacing w:before="100" w:beforeAutospacing="1" w:after="100" w:afterAutospacing="1"/>
              <w:rPr>
                <w:rFonts w:eastAsia="Times New Roman"/>
                <w:color w:val="000000"/>
              </w:rPr>
            </w:pPr>
          </w:p>
        </w:tc>
      </w:tr>
      <w:tr w:rsidR="0040105D" w:rsidRPr="0079216A" w14:paraId="43B4310F" w14:textId="380D2CA7" w:rsidTr="008F25B2">
        <w:tc>
          <w:tcPr>
            <w:tcW w:w="1906" w:type="pct"/>
          </w:tcPr>
          <w:p w14:paraId="16477AAF" w14:textId="77777777" w:rsidR="00804723" w:rsidRDefault="0040105D" w:rsidP="00804723">
            <w:pPr>
              <w:shd w:val="clear" w:color="auto" w:fill="FFFFFF"/>
              <w:spacing w:before="100" w:beforeAutospacing="1" w:after="100" w:afterAutospacing="1" w:line="276" w:lineRule="auto"/>
              <w:rPr>
                <w:rFonts w:eastAsia="Times New Roman"/>
                <w:color w:val="000000"/>
                <w:lang w:eastAsia="nl-NL"/>
              </w:rPr>
            </w:pPr>
            <w:r>
              <w:rPr>
                <w:rFonts w:eastAsia="Times New Roman"/>
                <w:color w:val="000000"/>
                <w:lang w:eastAsia="nl-NL"/>
              </w:rPr>
              <w:lastRenderedPageBreak/>
              <w:t>H</w:t>
            </w:r>
            <w:r w:rsidRPr="008A0AB6">
              <w:rPr>
                <w:rFonts w:eastAsia="Times New Roman"/>
                <w:color w:val="000000"/>
                <w:lang w:eastAsia="nl-NL"/>
              </w:rPr>
              <w:t xml:space="preserve">et PTA </w:t>
            </w:r>
            <w:r>
              <w:rPr>
                <w:rFonts w:eastAsia="Times New Roman"/>
                <w:color w:val="000000"/>
                <w:lang w:eastAsia="nl-NL"/>
              </w:rPr>
              <w:t>is begrijpelijk en</w:t>
            </w:r>
            <w:r w:rsidRPr="008A0AB6">
              <w:rPr>
                <w:rFonts w:eastAsia="Times New Roman"/>
                <w:color w:val="000000"/>
                <w:lang w:eastAsia="nl-NL"/>
              </w:rPr>
              <w:t xml:space="preserve"> helder voor </w:t>
            </w:r>
            <w:r>
              <w:rPr>
                <w:rFonts w:eastAsia="Times New Roman"/>
                <w:color w:val="000000"/>
                <w:lang w:eastAsia="nl-NL"/>
              </w:rPr>
              <w:t xml:space="preserve">de </w:t>
            </w:r>
            <w:r w:rsidRPr="008A0AB6">
              <w:rPr>
                <w:rFonts w:eastAsia="Times New Roman"/>
                <w:color w:val="000000"/>
                <w:lang w:eastAsia="nl-NL"/>
              </w:rPr>
              <w:t>leerlingen</w:t>
            </w:r>
            <w:r w:rsidR="00804723">
              <w:rPr>
                <w:rFonts w:eastAsia="Times New Roman"/>
                <w:color w:val="000000"/>
                <w:lang w:eastAsia="nl-NL"/>
              </w:rPr>
              <w:t>.</w:t>
            </w:r>
          </w:p>
          <w:p w14:paraId="431ECB9F" w14:textId="260E866B" w:rsidR="0040105D" w:rsidRPr="0079216A" w:rsidRDefault="00804723" w:rsidP="00804723">
            <w:pPr>
              <w:shd w:val="clear" w:color="auto" w:fill="FFFFFF"/>
              <w:spacing w:before="100" w:beforeAutospacing="1" w:after="100" w:afterAutospacing="1" w:line="276" w:lineRule="auto"/>
            </w:pPr>
            <w:r>
              <w:rPr>
                <w:rFonts w:eastAsia="Times New Roman"/>
                <w:color w:val="000000"/>
                <w:lang w:eastAsia="nl-NL"/>
              </w:rPr>
              <w:t xml:space="preserve">Zo nodig </w:t>
            </w:r>
            <w:r w:rsidR="0040105D">
              <w:rPr>
                <w:rFonts w:eastAsia="Times New Roman"/>
                <w:color w:val="000000"/>
                <w:lang w:eastAsia="nl-NL"/>
              </w:rPr>
              <w:t>zijn aan het PTA documenten gekoppeld met aanvullende toelichting.</w:t>
            </w:r>
            <w:r w:rsidR="0040105D" w:rsidRPr="008A0AB6">
              <w:rPr>
                <w:rFonts w:eastAsia="Times New Roman"/>
                <w:color w:val="000000"/>
                <w:lang w:eastAsia="nl-NL"/>
              </w:rPr>
              <w:t xml:space="preserve"> </w:t>
            </w:r>
          </w:p>
        </w:tc>
        <w:tc>
          <w:tcPr>
            <w:tcW w:w="352" w:type="pct"/>
          </w:tcPr>
          <w:p w14:paraId="0F76632A" w14:textId="34A26157" w:rsidR="0040105D" w:rsidRPr="0079216A" w:rsidRDefault="00804723" w:rsidP="008A0AB6">
            <w:pPr>
              <w:spacing w:before="100" w:beforeAutospacing="1" w:after="100" w:afterAutospacing="1"/>
              <w:rPr>
                <w:rFonts w:eastAsia="Times New Roman"/>
                <w:color w:val="000000"/>
              </w:rPr>
            </w:pPr>
            <w:r>
              <w:rPr>
                <w:rFonts w:eastAsia="Times New Roman"/>
                <w:color w:val="000000"/>
              </w:rPr>
              <w:t>X</w:t>
            </w:r>
          </w:p>
        </w:tc>
        <w:tc>
          <w:tcPr>
            <w:tcW w:w="352" w:type="pct"/>
          </w:tcPr>
          <w:p w14:paraId="57379487" w14:textId="4F3A4DCF" w:rsidR="0040105D" w:rsidRDefault="0040105D" w:rsidP="008A0AB6">
            <w:pPr>
              <w:spacing w:before="100" w:beforeAutospacing="1" w:after="100" w:afterAutospacing="1"/>
              <w:rPr>
                <w:rFonts w:eastAsia="Times New Roman"/>
                <w:color w:val="000000"/>
              </w:rPr>
            </w:pPr>
          </w:p>
          <w:p w14:paraId="0AC7EDEC" w14:textId="77777777" w:rsidR="00804723" w:rsidRDefault="00804723" w:rsidP="008A0AB6">
            <w:pPr>
              <w:spacing w:before="100" w:beforeAutospacing="1" w:after="100" w:afterAutospacing="1"/>
              <w:rPr>
                <w:rFonts w:eastAsia="Times New Roman"/>
                <w:color w:val="000000"/>
              </w:rPr>
            </w:pPr>
          </w:p>
          <w:p w14:paraId="2A3B6591" w14:textId="0A49D238" w:rsidR="00804723" w:rsidRPr="0079216A" w:rsidRDefault="00804723" w:rsidP="008A0AB6">
            <w:pPr>
              <w:spacing w:before="100" w:beforeAutospacing="1" w:after="100" w:afterAutospacing="1"/>
              <w:rPr>
                <w:rFonts w:eastAsia="Times New Roman"/>
                <w:color w:val="000000"/>
              </w:rPr>
            </w:pPr>
            <w:r>
              <w:rPr>
                <w:rFonts w:eastAsia="Times New Roman"/>
                <w:color w:val="000000"/>
              </w:rPr>
              <w:t>X</w:t>
            </w:r>
          </w:p>
        </w:tc>
        <w:tc>
          <w:tcPr>
            <w:tcW w:w="489" w:type="pct"/>
          </w:tcPr>
          <w:p w14:paraId="4C589BA1" w14:textId="77777777" w:rsidR="0040105D" w:rsidRPr="0079216A" w:rsidRDefault="0040105D" w:rsidP="008A0AB6">
            <w:pPr>
              <w:spacing w:before="100" w:beforeAutospacing="1" w:after="100" w:afterAutospacing="1"/>
              <w:rPr>
                <w:rFonts w:eastAsia="Times New Roman"/>
                <w:color w:val="000000"/>
              </w:rPr>
            </w:pPr>
          </w:p>
        </w:tc>
        <w:tc>
          <w:tcPr>
            <w:tcW w:w="1901" w:type="pct"/>
          </w:tcPr>
          <w:p w14:paraId="7E1CF4DA" w14:textId="087D5CAA" w:rsidR="0040105D" w:rsidRPr="0079216A" w:rsidRDefault="0040105D" w:rsidP="008A0AB6">
            <w:pPr>
              <w:spacing w:before="100" w:beforeAutospacing="1" w:after="100" w:afterAutospacing="1"/>
              <w:rPr>
                <w:rFonts w:eastAsia="Times New Roman"/>
                <w:color w:val="000000"/>
              </w:rPr>
            </w:pPr>
          </w:p>
        </w:tc>
      </w:tr>
      <w:tr w:rsidR="0040105D" w:rsidRPr="0079216A" w14:paraId="7CFAC6B1" w14:textId="286BE816" w:rsidTr="008F25B2">
        <w:tc>
          <w:tcPr>
            <w:tcW w:w="1906" w:type="pct"/>
          </w:tcPr>
          <w:p w14:paraId="531D87DA" w14:textId="77777777" w:rsidR="00804723" w:rsidRDefault="0040105D" w:rsidP="00ED7907">
            <w:pPr>
              <w:pStyle w:val="Geenafstand"/>
            </w:pPr>
            <w:r>
              <w:t>Aanvullende criteria die de school hanteert</w:t>
            </w:r>
            <w:r w:rsidR="00804723">
              <w:t xml:space="preserve"> bij de PTA constructie</w:t>
            </w:r>
            <w:r>
              <w:t xml:space="preserve">: </w:t>
            </w:r>
          </w:p>
          <w:p w14:paraId="059F6A64" w14:textId="77777777" w:rsidR="00804723" w:rsidRDefault="00804723" w:rsidP="00ED7907">
            <w:pPr>
              <w:pStyle w:val="Geenafstand"/>
            </w:pPr>
          </w:p>
          <w:p w14:paraId="5CEF65C9" w14:textId="2EF199A0" w:rsidR="0040105D" w:rsidRDefault="0040105D" w:rsidP="00804723">
            <w:pPr>
              <w:pStyle w:val="Geenafstand"/>
              <w:numPr>
                <w:ilvl w:val="0"/>
                <w:numId w:val="10"/>
              </w:numPr>
            </w:pPr>
            <w:r>
              <w:t>…..</w:t>
            </w:r>
          </w:p>
          <w:p w14:paraId="6A609742" w14:textId="77777777" w:rsidR="0040105D" w:rsidRDefault="0040105D" w:rsidP="00ED7907">
            <w:pPr>
              <w:pStyle w:val="Geenafstand"/>
            </w:pPr>
          </w:p>
          <w:p w14:paraId="51DF6F50" w14:textId="77777777" w:rsidR="0040105D" w:rsidRDefault="0040105D" w:rsidP="00ED7907">
            <w:pPr>
              <w:pStyle w:val="Geenafstand"/>
            </w:pPr>
          </w:p>
          <w:p w14:paraId="72CAEDEE" w14:textId="16979FF0" w:rsidR="0040105D" w:rsidRPr="0079216A" w:rsidRDefault="0040105D" w:rsidP="00ED7907">
            <w:pPr>
              <w:pStyle w:val="Geenafstand"/>
            </w:pPr>
          </w:p>
        </w:tc>
        <w:tc>
          <w:tcPr>
            <w:tcW w:w="352" w:type="pct"/>
          </w:tcPr>
          <w:p w14:paraId="6E16A95C" w14:textId="77777777" w:rsidR="0040105D" w:rsidRPr="0079216A" w:rsidRDefault="0040105D" w:rsidP="00ED7907">
            <w:pPr>
              <w:spacing w:before="100" w:beforeAutospacing="1" w:after="100" w:afterAutospacing="1"/>
              <w:rPr>
                <w:rFonts w:eastAsia="Times New Roman"/>
                <w:color w:val="000000"/>
              </w:rPr>
            </w:pPr>
          </w:p>
        </w:tc>
        <w:tc>
          <w:tcPr>
            <w:tcW w:w="352" w:type="pct"/>
          </w:tcPr>
          <w:p w14:paraId="2F737FCE" w14:textId="010356CE" w:rsidR="0040105D" w:rsidRPr="0079216A" w:rsidRDefault="00804723" w:rsidP="00ED7907">
            <w:pPr>
              <w:spacing w:before="100" w:beforeAutospacing="1" w:after="100" w:afterAutospacing="1"/>
              <w:rPr>
                <w:rFonts w:eastAsia="Times New Roman"/>
                <w:color w:val="000000"/>
              </w:rPr>
            </w:pPr>
            <w:r>
              <w:rPr>
                <w:rFonts w:eastAsia="Times New Roman"/>
                <w:color w:val="000000"/>
              </w:rPr>
              <w:t>X</w:t>
            </w:r>
          </w:p>
        </w:tc>
        <w:tc>
          <w:tcPr>
            <w:tcW w:w="489" w:type="pct"/>
          </w:tcPr>
          <w:p w14:paraId="7917657B" w14:textId="77777777" w:rsidR="0040105D" w:rsidRPr="0079216A" w:rsidRDefault="0040105D" w:rsidP="00ED7907">
            <w:pPr>
              <w:spacing w:before="100" w:beforeAutospacing="1" w:after="100" w:afterAutospacing="1"/>
              <w:rPr>
                <w:rFonts w:eastAsia="Times New Roman"/>
                <w:color w:val="000000"/>
              </w:rPr>
            </w:pPr>
          </w:p>
        </w:tc>
        <w:tc>
          <w:tcPr>
            <w:tcW w:w="1901" w:type="pct"/>
          </w:tcPr>
          <w:p w14:paraId="33B84502" w14:textId="7E576054" w:rsidR="0040105D" w:rsidRPr="0079216A" w:rsidRDefault="0040105D" w:rsidP="00ED7907">
            <w:pPr>
              <w:spacing w:before="100" w:beforeAutospacing="1" w:after="100" w:afterAutospacing="1"/>
              <w:rPr>
                <w:rFonts w:eastAsia="Times New Roman"/>
                <w:color w:val="000000"/>
              </w:rPr>
            </w:pPr>
          </w:p>
        </w:tc>
      </w:tr>
    </w:tbl>
    <w:p w14:paraId="4F324570" w14:textId="70C325EF" w:rsidR="005D04A1" w:rsidRPr="00FD5843" w:rsidRDefault="005D04A1" w:rsidP="007A71E7">
      <w:pPr>
        <w:rPr>
          <w:i/>
          <w:iCs/>
        </w:rPr>
      </w:pPr>
    </w:p>
    <w:sectPr w:rsidR="005D04A1" w:rsidRPr="00FD5843" w:rsidSect="00094415">
      <w:headerReference w:type="even" r:id="rId10"/>
      <w:headerReference w:type="default" r:id="rId11"/>
      <w:footerReference w:type="default" r:id="rId12"/>
      <w:head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7A75" w14:textId="77777777" w:rsidR="001328FB" w:rsidRDefault="001328FB" w:rsidP="0020240D">
      <w:pPr>
        <w:spacing w:after="0" w:line="240" w:lineRule="auto"/>
      </w:pPr>
      <w:r>
        <w:separator/>
      </w:r>
    </w:p>
  </w:endnote>
  <w:endnote w:type="continuationSeparator" w:id="0">
    <w:p w14:paraId="40B9FDE6" w14:textId="77777777" w:rsidR="001328FB" w:rsidRDefault="001328FB" w:rsidP="0020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368458"/>
      <w:docPartObj>
        <w:docPartGallery w:val="Page Numbers (Bottom of Page)"/>
        <w:docPartUnique/>
      </w:docPartObj>
    </w:sdtPr>
    <w:sdtEndPr/>
    <w:sdtContent>
      <w:p w14:paraId="428C7238" w14:textId="77777777" w:rsidR="00A53BA0" w:rsidRDefault="00A53BA0">
        <w:pPr>
          <w:pStyle w:val="Voettekst"/>
          <w:jc w:val="right"/>
        </w:pPr>
        <w:r>
          <w:fldChar w:fldCharType="begin"/>
        </w:r>
        <w:r>
          <w:instrText>PAGE   \* MERGEFORMAT</w:instrText>
        </w:r>
        <w:r>
          <w:fldChar w:fldCharType="separate"/>
        </w:r>
        <w:r w:rsidR="00A87C09">
          <w:rPr>
            <w:noProof/>
          </w:rPr>
          <w:t>2</w:t>
        </w:r>
        <w:r>
          <w:fldChar w:fldCharType="end"/>
        </w:r>
      </w:p>
    </w:sdtContent>
  </w:sdt>
  <w:p w14:paraId="2106965A" w14:textId="77777777" w:rsidR="00A53BA0" w:rsidRDefault="00A53B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029A" w14:textId="77777777" w:rsidR="001328FB" w:rsidRDefault="001328FB" w:rsidP="0020240D">
      <w:pPr>
        <w:spacing w:after="0" w:line="240" w:lineRule="auto"/>
      </w:pPr>
      <w:r>
        <w:separator/>
      </w:r>
    </w:p>
  </w:footnote>
  <w:footnote w:type="continuationSeparator" w:id="0">
    <w:p w14:paraId="7168FD2B" w14:textId="77777777" w:rsidR="001328FB" w:rsidRDefault="001328FB" w:rsidP="0020240D">
      <w:pPr>
        <w:spacing w:after="0" w:line="240" w:lineRule="auto"/>
      </w:pPr>
      <w:r>
        <w:continuationSeparator/>
      </w:r>
    </w:p>
  </w:footnote>
  <w:footnote w:id="1">
    <w:p w14:paraId="6583E06F" w14:textId="48AAB418" w:rsidR="0040105D" w:rsidRDefault="0040105D">
      <w:pPr>
        <w:pStyle w:val="Voetnoottekst"/>
      </w:pPr>
      <w:r>
        <w:rPr>
          <w:rStyle w:val="Voetnootmarkering"/>
        </w:rPr>
        <w:footnoteRef/>
      </w:r>
      <w:r>
        <w:t xml:space="preserve"> Onder toetsen worden alle toetsvormen verstaan waarmee een onderdeel van het examenprogramma kan worden afgesloten</w:t>
      </w:r>
    </w:p>
  </w:footnote>
  <w:footnote w:id="2">
    <w:p w14:paraId="643528F7" w14:textId="3E86ACDA" w:rsidR="0040105D" w:rsidRDefault="0040105D">
      <w:pPr>
        <w:pStyle w:val="Voetnoottekst"/>
      </w:pPr>
      <w:r>
        <w:rPr>
          <w:rStyle w:val="Voetnootmarkering"/>
        </w:rPr>
        <w:footnoteRef/>
      </w:r>
      <w:r>
        <w:t xml:space="preserve"> </w:t>
      </w:r>
      <w:r w:rsidRPr="00A5596C">
        <w:rPr>
          <w:sz w:val="18"/>
          <w:szCs w:val="18"/>
        </w:rPr>
        <w:t>Daarbij zijn de zgn. ‘kruisjeslijsten’ uit de examenprogramma’s avo leidend (‘wat moet en wat mag op het SE’). Bij de beroepsgerichte profielvakken maakt een school een eigen representatieve en relevante keus uit de te toetsen deeltaken. Bij de beroepsgerichte keuzevakken moeten alle deeltaken van een vak getoetst worden.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098D" w14:textId="77777777" w:rsidR="0020240D" w:rsidRDefault="001328FB">
    <w:pPr>
      <w:pStyle w:val="Koptekst"/>
    </w:pPr>
    <w:r>
      <w:rPr>
        <w:noProof/>
      </w:rPr>
      <w:pict w14:anchorId="43E7F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5" o:spid="_x0000_s2059" type="#_x0000_t75" style="position:absolute;margin-left:0;margin-top:0;width:841.9pt;height:595.2pt;z-index:-251657216;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C04B" w14:textId="5DA77FF3" w:rsidR="00A5596C" w:rsidRDefault="008400E3">
    <w:pPr>
      <w:pStyle w:val="Koptekst"/>
    </w:pPr>
    <w:r>
      <w:t>Versie definitief, 210831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DACD" w14:textId="77777777" w:rsidR="0020240D" w:rsidRDefault="001328FB">
    <w:pPr>
      <w:pStyle w:val="Koptekst"/>
    </w:pPr>
    <w:r>
      <w:rPr>
        <w:noProof/>
      </w:rPr>
      <w:pict w14:anchorId="61962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3881134" o:spid="_x0000_s2058" type="#_x0000_t75" style="position:absolute;margin-left:0;margin-top:0;width:841.9pt;height:595.2pt;z-index:-251658240;mso-position-horizontal:center;mso-position-horizontal-relative:margin;mso-position-vertical:center;mso-position-vertical-relative:margin" o:allowincell="f">
          <v:imagedata r:id="rId1" o:title="BO 16 SPV Examinering word template_ligge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91D"/>
    <w:multiLevelType w:val="hybridMultilevel"/>
    <w:tmpl w:val="3F40EB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5F2462"/>
    <w:multiLevelType w:val="hybridMultilevel"/>
    <w:tmpl w:val="E378FB1A"/>
    <w:lvl w:ilvl="0" w:tplc="AB044A8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814271"/>
    <w:multiLevelType w:val="hybridMultilevel"/>
    <w:tmpl w:val="5A4EE020"/>
    <w:lvl w:ilvl="0" w:tplc="B934B57C">
      <w:start w:val="1"/>
      <w:numFmt w:val="bullet"/>
      <w:lvlText w:val=""/>
      <w:lvlJc w:val="left"/>
      <w:pPr>
        <w:tabs>
          <w:tab w:val="num" w:pos="720"/>
        </w:tabs>
        <w:ind w:left="720" w:hanging="360"/>
      </w:pPr>
      <w:rPr>
        <w:rFonts w:ascii="Wingdings" w:hAnsi="Wingdings" w:hint="default"/>
      </w:rPr>
    </w:lvl>
    <w:lvl w:ilvl="1" w:tplc="E462353E">
      <w:start w:val="1"/>
      <w:numFmt w:val="bullet"/>
      <w:lvlText w:val=""/>
      <w:lvlJc w:val="left"/>
      <w:pPr>
        <w:tabs>
          <w:tab w:val="num" w:pos="1440"/>
        </w:tabs>
        <w:ind w:left="1440" w:hanging="360"/>
      </w:pPr>
      <w:rPr>
        <w:rFonts w:ascii="Wingdings" w:hAnsi="Wingdings" w:hint="default"/>
      </w:rPr>
    </w:lvl>
    <w:lvl w:ilvl="2" w:tplc="ED2A1E4A" w:tentative="1">
      <w:start w:val="1"/>
      <w:numFmt w:val="bullet"/>
      <w:lvlText w:val=""/>
      <w:lvlJc w:val="left"/>
      <w:pPr>
        <w:tabs>
          <w:tab w:val="num" w:pos="2160"/>
        </w:tabs>
        <w:ind w:left="2160" w:hanging="360"/>
      </w:pPr>
      <w:rPr>
        <w:rFonts w:ascii="Wingdings" w:hAnsi="Wingdings" w:hint="default"/>
      </w:rPr>
    </w:lvl>
    <w:lvl w:ilvl="3" w:tplc="53728F42" w:tentative="1">
      <w:start w:val="1"/>
      <w:numFmt w:val="bullet"/>
      <w:lvlText w:val=""/>
      <w:lvlJc w:val="left"/>
      <w:pPr>
        <w:tabs>
          <w:tab w:val="num" w:pos="2880"/>
        </w:tabs>
        <w:ind w:left="2880" w:hanging="360"/>
      </w:pPr>
      <w:rPr>
        <w:rFonts w:ascii="Wingdings" w:hAnsi="Wingdings" w:hint="default"/>
      </w:rPr>
    </w:lvl>
    <w:lvl w:ilvl="4" w:tplc="5664C8CA" w:tentative="1">
      <w:start w:val="1"/>
      <w:numFmt w:val="bullet"/>
      <w:lvlText w:val=""/>
      <w:lvlJc w:val="left"/>
      <w:pPr>
        <w:tabs>
          <w:tab w:val="num" w:pos="3600"/>
        </w:tabs>
        <w:ind w:left="3600" w:hanging="360"/>
      </w:pPr>
      <w:rPr>
        <w:rFonts w:ascii="Wingdings" w:hAnsi="Wingdings" w:hint="default"/>
      </w:rPr>
    </w:lvl>
    <w:lvl w:ilvl="5" w:tplc="7A904474" w:tentative="1">
      <w:start w:val="1"/>
      <w:numFmt w:val="bullet"/>
      <w:lvlText w:val=""/>
      <w:lvlJc w:val="left"/>
      <w:pPr>
        <w:tabs>
          <w:tab w:val="num" w:pos="4320"/>
        </w:tabs>
        <w:ind w:left="4320" w:hanging="360"/>
      </w:pPr>
      <w:rPr>
        <w:rFonts w:ascii="Wingdings" w:hAnsi="Wingdings" w:hint="default"/>
      </w:rPr>
    </w:lvl>
    <w:lvl w:ilvl="6" w:tplc="872E80CA" w:tentative="1">
      <w:start w:val="1"/>
      <w:numFmt w:val="bullet"/>
      <w:lvlText w:val=""/>
      <w:lvlJc w:val="left"/>
      <w:pPr>
        <w:tabs>
          <w:tab w:val="num" w:pos="5040"/>
        </w:tabs>
        <w:ind w:left="5040" w:hanging="360"/>
      </w:pPr>
      <w:rPr>
        <w:rFonts w:ascii="Wingdings" w:hAnsi="Wingdings" w:hint="default"/>
      </w:rPr>
    </w:lvl>
    <w:lvl w:ilvl="7" w:tplc="6776B706" w:tentative="1">
      <w:start w:val="1"/>
      <w:numFmt w:val="bullet"/>
      <w:lvlText w:val=""/>
      <w:lvlJc w:val="left"/>
      <w:pPr>
        <w:tabs>
          <w:tab w:val="num" w:pos="5760"/>
        </w:tabs>
        <w:ind w:left="5760" w:hanging="360"/>
      </w:pPr>
      <w:rPr>
        <w:rFonts w:ascii="Wingdings" w:hAnsi="Wingdings" w:hint="default"/>
      </w:rPr>
    </w:lvl>
    <w:lvl w:ilvl="8" w:tplc="D5AA95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370FB"/>
    <w:multiLevelType w:val="hybridMultilevel"/>
    <w:tmpl w:val="0360E0AC"/>
    <w:lvl w:ilvl="0" w:tplc="AB044A8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F560ED"/>
    <w:multiLevelType w:val="hybridMultilevel"/>
    <w:tmpl w:val="6C6E1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7C177F"/>
    <w:multiLevelType w:val="hybridMultilevel"/>
    <w:tmpl w:val="967E0D7C"/>
    <w:lvl w:ilvl="0" w:tplc="AB044A8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C042FE"/>
    <w:multiLevelType w:val="hybridMultilevel"/>
    <w:tmpl w:val="A5123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730D4C"/>
    <w:multiLevelType w:val="hybridMultilevel"/>
    <w:tmpl w:val="B0C03A66"/>
    <w:lvl w:ilvl="0" w:tplc="A51C9358">
      <w:start w:val="1"/>
      <w:numFmt w:val="bullet"/>
      <w:lvlText w:val="•"/>
      <w:lvlJc w:val="left"/>
      <w:pPr>
        <w:tabs>
          <w:tab w:val="num" w:pos="720"/>
        </w:tabs>
        <w:ind w:left="720" w:hanging="360"/>
      </w:pPr>
      <w:rPr>
        <w:rFonts w:ascii="Arial" w:hAnsi="Arial" w:hint="default"/>
      </w:rPr>
    </w:lvl>
    <w:lvl w:ilvl="1" w:tplc="3F540D28" w:tentative="1">
      <w:start w:val="1"/>
      <w:numFmt w:val="bullet"/>
      <w:lvlText w:val="•"/>
      <w:lvlJc w:val="left"/>
      <w:pPr>
        <w:tabs>
          <w:tab w:val="num" w:pos="1440"/>
        </w:tabs>
        <w:ind w:left="1440" w:hanging="360"/>
      </w:pPr>
      <w:rPr>
        <w:rFonts w:ascii="Arial" w:hAnsi="Arial" w:hint="default"/>
      </w:rPr>
    </w:lvl>
    <w:lvl w:ilvl="2" w:tplc="36ACDDEC" w:tentative="1">
      <w:start w:val="1"/>
      <w:numFmt w:val="bullet"/>
      <w:lvlText w:val="•"/>
      <w:lvlJc w:val="left"/>
      <w:pPr>
        <w:tabs>
          <w:tab w:val="num" w:pos="2160"/>
        </w:tabs>
        <w:ind w:left="2160" w:hanging="360"/>
      </w:pPr>
      <w:rPr>
        <w:rFonts w:ascii="Arial" w:hAnsi="Arial" w:hint="default"/>
      </w:rPr>
    </w:lvl>
    <w:lvl w:ilvl="3" w:tplc="5ADE4D48" w:tentative="1">
      <w:start w:val="1"/>
      <w:numFmt w:val="bullet"/>
      <w:lvlText w:val="•"/>
      <w:lvlJc w:val="left"/>
      <w:pPr>
        <w:tabs>
          <w:tab w:val="num" w:pos="2880"/>
        </w:tabs>
        <w:ind w:left="2880" w:hanging="360"/>
      </w:pPr>
      <w:rPr>
        <w:rFonts w:ascii="Arial" w:hAnsi="Arial" w:hint="default"/>
      </w:rPr>
    </w:lvl>
    <w:lvl w:ilvl="4" w:tplc="32CE7A4C" w:tentative="1">
      <w:start w:val="1"/>
      <w:numFmt w:val="bullet"/>
      <w:lvlText w:val="•"/>
      <w:lvlJc w:val="left"/>
      <w:pPr>
        <w:tabs>
          <w:tab w:val="num" w:pos="3600"/>
        </w:tabs>
        <w:ind w:left="3600" w:hanging="360"/>
      </w:pPr>
      <w:rPr>
        <w:rFonts w:ascii="Arial" w:hAnsi="Arial" w:hint="default"/>
      </w:rPr>
    </w:lvl>
    <w:lvl w:ilvl="5" w:tplc="2306FA1A" w:tentative="1">
      <w:start w:val="1"/>
      <w:numFmt w:val="bullet"/>
      <w:lvlText w:val="•"/>
      <w:lvlJc w:val="left"/>
      <w:pPr>
        <w:tabs>
          <w:tab w:val="num" w:pos="4320"/>
        </w:tabs>
        <w:ind w:left="4320" w:hanging="360"/>
      </w:pPr>
      <w:rPr>
        <w:rFonts w:ascii="Arial" w:hAnsi="Arial" w:hint="default"/>
      </w:rPr>
    </w:lvl>
    <w:lvl w:ilvl="6" w:tplc="65D0342A" w:tentative="1">
      <w:start w:val="1"/>
      <w:numFmt w:val="bullet"/>
      <w:lvlText w:val="•"/>
      <w:lvlJc w:val="left"/>
      <w:pPr>
        <w:tabs>
          <w:tab w:val="num" w:pos="5040"/>
        </w:tabs>
        <w:ind w:left="5040" w:hanging="360"/>
      </w:pPr>
      <w:rPr>
        <w:rFonts w:ascii="Arial" w:hAnsi="Arial" w:hint="default"/>
      </w:rPr>
    </w:lvl>
    <w:lvl w:ilvl="7" w:tplc="8CB46478" w:tentative="1">
      <w:start w:val="1"/>
      <w:numFmt w:val="bullet"/>
      <w:lvlText w:val="•"/>
      <w:lvlJc w:val="left"/>
      <w:pPr>
        <w:tabs>
          <w:tab w:val="num" w:pos="5760"/>
        </w:tabs>
        <w:ind w:left="5760" w:hanging="360"/>
      </w:pPr>
      <w:rPr>
        <w:rFonts w:ascii="Arial" w:hAnsi="Arial" w:hint="default"/>
      </w:rPr>
    </w:lvl>
    <w:lvl w:ilvl="8" w:tplc="B58C5F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8420333"/>
    <w:multiLevelType w:val="hybridMultilevel"/>
    <w:tmpl w:val="E9FAD92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3F00AFD"/>
    <w:multiLevelType w:val="multilevel"/>
    <w:tmpl w:val="ECBC664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2"/>
  </w:num>
  <w:num w:numId="5">
    <w:abstractNumId w:val="4"/>
  </w:num>
  <w:num w:numId="6">
    <w:abstractNumId w:val="0"/>
  </w:num>
  <w:num w:numId="7">
    <w:abstractNumId w:val="3"/>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0D"/>
    <w:rsid w:val="00027924"/>
    <w:rsid w:val="0005727F"/>
    <w:rsid w:val="00094415"/>
    <w:rsid w:val="000C3D4D"/>
    <w:rsid w:val="001328FB"/>
    <w:rsid w:val="00145BD2"/>
    <w:rsid w:val="0020240D"/>
    <w:rsid w:val="002352DB"/>
    <w:rsid w:val="002C4014"/>
    <w:rsid w:val="003A2A87"/>
    <w:rsid w:val="003A488F"/>
    <w:rsid w:val="0040105D"/>
    <w:rsid w:val="00447FC6"/>
    <w:rsid w:val="00473ED9"/>
    <w:rsid w:val="004C7AB1"/>
    <w:rsid w:val="004D13DE"/>
    <w:rsid w:val="005D04A1"/>
    <w:rsid w:val="00663C13"/>
    <w:rsid w:val="00747EE2"/>
    <w:rsid w:val="007727BB"/>
    <w:rsid w:val="00780741"/>
    <w:rsid w:val="007A1A53"/>
    <w:rsid w:val="007A71E7"/>
    <w:rsid w:val="007C6875"/>
    <w:rsid w:val="007E5EA7"/>
    <w:rsid w:val="007F0D4D"/>
    <w:rsid w:val="00804723"/>
    <w:rsid w:val="00805963"/>
    <w:rsid w:val="00813A8E"/>
    <w:rsid w:val="00832CE8"/>
    <w:rsid w:val="008400E3"/>
    <w:rsid w:val="008A0AB6"/>
    <w:rsid w:val="008B44DE"/>
    <w:rsid w:val="008F01B4"/>
    <w:rsid w:val="008F2104"/>
    <w:rsid w:val="008F25B2"/>
    <w:rsid w:val="00953876"/>
    <w:rsid w:val="00967DCE"/>
    <w:rsid w:val="009773F8"/>
    <w:rsid w:val="00993C5A"/>
    <w:rsid w:val="00994724"/>
    <w:rsid w:val="009D3E98"/>
    <w:rsid w:val="00A06A3A"/>
    <w:rsid w:val="00A53BA0"/>
    <w:rsid w:val="00A5596C"/>
    <w:rsid w:val="00A80614"/>
    <w:rsid w:val="00A87C09"/>
    <w:rsid w:val="00AF2E2C"/>
    <w:rsid w:val="00AF6C15"/>
    <w:rsid w:val="00B50832"/>
    <w:rsid w:val="00BA500E"/>
    <w:rsid w:val="00BE6FD9"/>
    <w:rsid w:val="00CE1DED"/>
    <w:rsid w:val="00D52C3B"/>
    <w:rsid w:val="00DF0238"/>
    <w:rsid w:val="00DF0497"/>
    <w:rsid w:val="00E32C51"/>
    <w:rsid w:val="00EA6F1F"/>
    <w:rsid w:val="00EB15C6"/>
    <w:rsid w:val="00EC74C4"/>
    <w:rsid w:val="00ED7907"/>
    <w:rsid w:val="00F03E93"/>
    <w:rsid w:val="00F25BA1"/>
    <w:rsid w:val="00F35CD3"/>
    <w:rsid w:val="00F40314"/>
    <w:rsid w:val="00F601B1"/>
    <w:rsid w:val="00F73348"/>
    <w:rsid w:val="00FB3646"/>
    <w:rsid w:val="00FD5843"/>
    <w:rsid w:val="00FE2AEA"/>
    <w:rsid w:val="00FF2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7FAF80F"/>
  <w15:docId w15:val="{6CEFC12C-7E69-435E-B35E-3237BAB0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40D"/>
    <w:rPr>
      <w:sz w:val="20"/>
    </w:rPr>
  </w:style>
  <w:style w:type="paragraph" w:styleId="Kop1">
    <w:name w:val="heading 1"/>
    <w:basedOn w:val="Standaard"/>
    <w:next w:val="Standaard"/>
    <w:link w:val="Kop1Char"/>
    <w:uiPriority w:val="9"/>
    <w:qFormat/>
    <w:rsid w:val="0020240D"/>
    <w:pPr>
      <w:keepNext/>
      <w:keepLines/>
      <w:spacing w:before="480" w:after="0"/>
      <w:outlineLvl w:val="0"/>
    </w:pPr>
    <w:rPr>
      <w:rFonts w:ascii="Verdana" w:eastAsiaTheme="majorEastAsia" w:hAnsi="Verdana" w:cstheme="majorBidi"/>
      <w:b/>
      <w:bCs/>
      <w:color w:val="682E2A"/>
      <w:sz w:val="28"/>
      <w:szCs w:val="28"/>
    </w:rPr>
  </w:style>
  <w:style w:type="paragraph" w:styleId="Kop2">
    <w:name w:val="heading 2"/>
    <w:basedOn w:val="Standaard"/>
    <w:next w:val="Standaard"/>
    <w:link w:val="Kop2Char"/>
    <w:uiPriority w:val="9"/>
    <w:unhideWhenUsed/>
    <w:qFormat/>
    <w:rsid w:val="0020240D"/>
    <w:pPr>
      <w:keepNext/>
      <w:keepLines/>
      <w:spacing w:before="200" w:after="0"/>
      <w:outlineLvl w:val="1"/>
    </w:pPr>
    <w:rPr>
      <w:rFonts w:ascii="Verdana" w:eastAsiaTheme="majorEastAsia" w:hAnsi="Verdana" w:cstheme="majorBidi"/>
      <w:b/>
      <w:bCs/>
      <w:color w:val="9CBC4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24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0240D"/>
  </w:style>
  <w:style w:type="paragraph" w:styleId="Voettekst">
    <w:name w:val="footer"/>
    <w:basedOn w:val="Standaard"/>
    <w:link w:val="VoettekstChar"/>
    <w:uiPriority w:val="99"/>
    <w:unhideWhenUsed/>
    <w:rsid w:val="002024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0240D"/>
  </w:style>
  <w:style w:type="paragraph" w:styleId="Geenafstand">
    <w:name w:val="No Spacing"/>
    <w:link w:val="GeenafstandChar"/>
    <w:uiPriority w:val="1"/>
    <w:qFormat/>
    <w:rsid w:val="0020240D"/>
    <w:pPr>
      <w:spacing w:after="0" w:line="240" w:lineRule="auto"/>
    </w:pPr>
    <w:rPr>
      <w:rFonts w:ascii="Verdana" w:hAnsi="Verdana"/>
      <w:sz w:val="20"/>
    </w:rPr>
  </w:style>
  <w:style w:type="character" w:customStyle="1" w:styleId="Kop1Char">
    <w:name w:val="Kop 1 Char"/>
    <w:basedOn w:val="Standaardalinea-lettertype"/>
    <w:link w:val="Kop1"/>
    <w:uiPriority w:val="9"/>
    <w:rsid w:val="0020240D"/>
    <w:rPr>
      <w:rFonts w:ascii="Verdana" w:eastAsiaTheme="majorEastAsia" w:hAnsi="Verdana" w:cstheme="majorBidi"/>
      <w:b/>
      <w:bCs/>
      <w:color w:val="682E2A"/>
      <w:sz w:val="28"/>
      <w:szCs w:val="28"/>
    </w:rPr>
  </w:style>
  <w:style w:type="character" w:customStyle="1" w:styleId="Kop2Char">
    <w:name w:val="Kop 2 Char"/>
    <w:basedOn w:val="Standaardalinea-lettertype"/>
    <w:link w:val="Kop2"/>
    <w:uiPriority w:val="9"/>
    <w:rsid w:val="0020240D"/>
    <w:rPr>
      <w:rFonts w:ascii="Verdana" w:eastAsiaTheme="majorEastAsia" w:hAnsi="Verdana" w:cstheme="majorBidi"/>
      <w:b/>
      <w:bCs/>
      <w:color w:val="9CBC41"/>
      <w:sz w:val="26"/>
      <w:szCs w:val="26"/>
    </w:rPr>
  </w:style>
  <w:style w:type="paragraph" w:styleId="Titel">
    <w:name w:val="Title"/>
    <w:basedOn w:val="Standaard"/>
    <w:next w:val="Standaard"/>
    <w:link w:val="TitelChar"/>
    <w:uiPriority w:val="10"/>
    <w:qFormat/>
    <w:rsid w:val="0020240D"/>
    <w:pPr>
      <w:pBdr>
        <w:bottom w:val="single" w:sz="8" w:space="4" w:color="4F81BD" w:themeColor="accent1"/>
      </w:pBdr>
      <w:spacing w:after="300" w:line="240" w:lineRule="auto"/>
      <w:contextualSpacing/>
    </w:pPr>
    <w:rPr>
      <w:rFonts w:ascii="Verdana" w:eastAsiaTheme="majorEastAsia" w:hAnsi="Verdana" w:cstheme="majorBidi"/>
      <w:color w:val="95BAE4"/>
      <w:spacing w:val="5"/>
      <w:kern w:val="28"/>
      <w:sz w:val="52"/>
      <w:szCs w:val="52"/>
    </w:rPr>
  </w:style>
  <w:style w:type="character" w:customStyle="1" w:styleId="TitelChar">
    <w:name w:val="Titel Char"/>
    <w:basedOn w:val="Standaardalinea-lettertype"/>
    <w:link w:val="Titel"/>
    <w:uiPriority w:val="10"/>
    <w:rsid w:val="0020240D"/>
    <w:rPr>
      <w:rFonts w:ascii="Verdana" w:eastAsiaTheme="majorEastAsia" w:hAnsi="Verdana" w:cstheme="majorBidi"/>
      <w:color w:val="95BAE4"/>
      <w:spacing w:val="5"/>
      <w:kern w:val="28"/>
      <w:sz w:val="52"/>
      <w:szCs w:val="52"/>
    </w:rPr>
  </w:style>
  <w:style w:type="paragraph" w:styleId="Ondertitel">
    <w:name w:val="Subtitle"/>
    <w:basedOn w:val="Standaard"/>
    <w:next w:val="Standaard"/>
    <w:link w:val="OndertitelChar"/>
    <w:uiPriority w:val="11"/>
    <w:qFormat/>
    <w:rsid w:val="0020240D"/>
    <w:pPr>
      <w:numPr>
        <w:ilvl w:val="1"/>
      </w:numPr>
    </w:pPr>
    <w:rPr>
      <w:rFonts w:ascii="Verdana" w:eastAsiaTheme="majorEastAsia" w:hAnsi="Verdana" w:cstheme="majorBidi"/>
      <w:i/>
      <w:iCs/>
      <w:color w:val="95BAE4"/>
      <w:spacing w:val="15"/>
      <w:sz w:val="24"/>
      <w:szCs w:val="24"/>
    </w:rPr>
  </w:style>
  <w:style w:type="character" w:customStyle="1" w:styleId="OndertitelChar">
    <w:name w:val="Ondertitel Char"/>
    <w:basedOn w:val="Standaardalinea-lettertype"/>
    <w:link w:val="Ondertitel"/>
    <w:uiPriority w:val="11"/>
    <w:rsid w:val="0020240D"/>
    <w:rPr>
      <w:rFonts w:ascii="Verdana" w:eastAsiaTheme="majorEastAsia" w:hAnsi="Verdana" w:cstheme="majorBidi"/>
      <w:i/>
      <w:iCs/>
      <w:color w:val="95BAE4"/>
      <w:spacing w:val="15"/>
      <w:sz w:val="24"/>
      <w:szCs w:val="24"/>
    </w:rPr>
  </w:style>
  <w:style w:type="character" w:styleId="Subtielebenadrukking">
    <w:name w:val="Subtle Emphasis"/>
    <w:basedOn w:val="Standaardalinea-lettertype"/>
    <w:uiPriority w:val="19"/>
    <w:qFormat/>
    <w:rsid w:val="0020240D"/>
    <w:rPr>
      <w:rFonts w:ascii="Verdana" w:hAnsi="Verdana"/>
      <w:i/>
      <w:iCs/>
      <w:color w:val="808080" w:themeColor="text1" w:themeTint="7F"/>
    </w:rPr>
  </w:style>
  <w:style w:type="character" w:styleId="Nadruk">
    <w:name w:val="Emphasis"/>
    <w:basedOn w:val="Standaardalinea-lettertype"/>
    <w:uiPriority w:val="20"/>
    <w:qFormat/>
    <w:rsid w:val="0020240D"/>
    <w:rPr>
      <w:rFonts w:ascii="Verdana" w:hAnsi="Verdana"/>
      <w:i/>
      <w:iCs/>
    </w:rPr>
  </w:style>
  <w:style w:type="paragraph" w:styleId="Lijstalinea">
    <w:name w:val="List Paragraph"/>
    <w:basedOn w:val="Standaard"/>
    <w:uiPriority w:val="34"/>
    <w:qFormat/>
    <w:rsid w:val="0020240D"/>
    <w:pPr>
      <w:ind w:left="720"/>
      <w:contextualSpacing/>
    </w:pPr>
    <w:rPr>
      <w:rFonts w:ascii="Verdana" w:hAnsi="Verdana"/>
    </w:rPr>
  </w:style>
  <w:style w:type="character" w:styleId="Titelvanboek">
    <w:name w:val="Book Title"/>
    <w:basedOn w:val="Standaardalinea-lettertype"/>
    <w:uiPriority w:val="33"/>
    <w:qFormat/>
    <w:rsid w:val="0020240D"/>
    <w:rPr>
      <w:rFonts w:ascii="Verdana" w:hAnsi="Verdana"/>
      <w:b/>
      <w:bCs/>
      <w:smallCaps/>
      <w:spacing w:val="5"/>
    </w:rPr>
  </w:style>
  <w:style w:type="character" w:styleId="Intensieveverwijzing">
    <w:name w:val="Intense Reference"/>
    <w:basedOn w:val="Standaardalinea-lettertype"/>
    <w:uiPriority w:val="32"/>
    <w:qFormat/>
    <w:rsid w:val="0020240D"/>
    <w:rPr>
      <w:rFonts w:ascii="Verdana" w:hAnsi="Verdana"/>
      <w:b/>
      <w:bCs/>
      <w:smallCaps/>
      <w:color w:val="A11F1E"/>
      <w:spacing w:val="5"/>
      <w:u w:val="single"/>
    </w:rPr>
  </w:style>
  <w:style w:type="character" w:styleId="Subtieleverwijzing">
    <w:name w:val="Subtle Reference"/>
    <w:basedOn w:val="Standaardalinea-lettertype"/>
    <w:uiPriority w:val="31"/>
    <w:qFormat/>
    <w:rsid w:val="0020240D"/>
    <w:rPr>
      <w:rFonts w:ascii="Verdana" w:hAnsi="Verdana"/>
      <w:smallCaps/>
      <w:color w:val="A11F1E"/>
      <w:u w:val="single"/>
    </w:rPr>
  </w:style>
  <w:style w:type="paragraph" w:styleId="Duidelijkcitaat">
    <w:name w:val="Intense Quote"/>
    <w:basedOn w:val="Standaard"/>
    <w:next w:val="Standaard"/>
    <w:link w:val="DuidelijkcitaatChar"/>
    <w:uiPriority w:val="30"/>
    <w:qFormat/>
    <w:rsid w:val="0020240D"/>
    <w:pPr>
      <w:pBdr>
        <w:bottom w:val="single" w:sz="4" w:space="4" w:color="4F81BD" w:themeColor="accent1"/>
      </w:pBdr>
      <w:spacing w:before="200" w:after="280"/>
      <w:ind w:left="936" w:right="936"/>
    </w:pPr>
    <w:rPr>
      <w:rFonts w:ascii="Verdana" w:hAnsi="Verdana"/>
      <w:b/>
      <w:bCs/>
      <w:i/>
      <w:iCs/>
      <w:color w:val="95BAE4"/>
    </w:rPr>
  </w:style>
  <w:style w:type="character" w:customStyle="1" w:styleId="DuidelijkcitaatChar">
    <w:name w:val="Duidelijk citaat Char"/>
    <w:basedOn w:val="Standaardalinea-lettertype"/>
    <w:link w:val="Duidelijkcitaat"/>
    <w:uiPriority w:val="30"/>
    <w:rsid w:val="0020240D"/>
    <w:rPr>
      <w:rFonts w:ascii="Verdana" w:hAnsi="Verdana"/>
      <w:b/>
      <w:bCs/>
      <w:i/>
      <w:iCs/>
      <w:color w:val="95BAE4"/>
      <w:sz w:val="20"/>
    </w:rPr>
  </w:style>
  <w:style w:type="paragraph" w:styleId="Citaat">
    <w:name w:val="Quote"/>
    <w:basedOn w:val="Standaard"/>
    <w:next w:val="Standaard"/>
    <w:link w:val="CitaatChar"/>
    <w:uiPriority w:val="29"/>
    <w:qFormat/>
    <w:rsid w:val="0020240D"/>
    <w:rPr>
      <w:rFonts w:ascii="Verdana" w:hAnsi="Verdana"/>
      <w:i/>
      <w:iCs/>
      <w:color w:val="000000" w:themeColor="text1"/>
    </w:rPr>
  </w:style>
  <w:style w:type="character" w:customStyle="1" w:styleId="CitaatChar">
    <w:name w:val="Citaat Char"/>
    <w:basedOn w:val="Standaardalinea-lettertype"/>
    <w:link w:val="Citaat"/>
    <w:uiPriority w:val="29"/>
    <w:rsid w:val="0020240D"/>
    <w:rPr>
      <w:rFonts w:ascii="Verdana" w:hAnsi="Verdana"/>
      <w:i/>
      <w:iCs/>
      <w:color w:val="000000" w:themeColor="text1"/>
      <w:sz w:val="20"/>
    </w:rPr>
  </w:style>
  <w:style w:type="character" w:styleId="Zwaar">
    <w:name w:val="Strong"/>
    <w:basedOn w:val="Standaardalinea-lettertype"/>
    <w:uiPriority w:val="22"/>
    <w:qFormat/>
    <w:rsid w:val="0020240D"/>
    <w:rPr>
      <w:rFonts w:ascii="Verdana" w:hAnsi="Verdana"/>
      <w:b/>
      <w:bCs/>
    </w:rPr>
  </w:style>
  <w:style w:type="character" w:styleId="Intensievebenadrukking">
    <w:name w:val="Intense Emphasis"/>
    <w:basedOn w:val="Standaardalinea-lettertype"/>
    <w:uiPriority w:val="21"/>
    <w:qFormat/>
    <w:rsid w:val="0020240D"/>
    <w:rPr>
      <w:rFonts w:ascii="Verdana" w:hAnsi="Verdana"/>
      <w:b/>
      <w:bCs/>
      <w:i/>
      <w:iCs/>
      <w:color w:val="95BAE4"/>
    </w:rPr>
  </w:style>
  <w:style w:type="table" w:styleId="Tabelraster">
    <w:name w:val="Table Grid"/>
    <w:basedOn w:val="Standaardtabel"/>
    <w:uiPriority w:val="59"/>
    <w:rsid w:val="008059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805963"/>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805963"/>
    <w:rPr>
      <w:rFonts w:eastAsiaTheme="minorHAnsi"/>
      <w:sz w:val="20"/>
      <w:szCs w:val="20"/>
      <w:lang w:eastAsia="en-US"/>
    </w:rPr>
  </w:style>
  <w:style w:type="character" w:styleId="Voetnootmarkering">
    <w:name w:val="footnote reference"/>
    <w:basedOn w:val="Standaardalinea-lettertype"/>
    <w:unhideWhenUsed/>
    <w:rsid w:val="00805963"/>
    <w:rPr>
      <w:vertAlign w:val="superscript"/>
    </w:rPr>
  </w:style>
  <w:style w:type="character" w:customStyle="1" w:styleId="GeenafstandChar">
    <w:name w:val="Geen afstand Char"/>
    <w:basedOn w:val="Standaardalinea-lettertype"/>
    <w:link w:val="Geenafstand"/>
    <w:uiPriority w:val="1"/>
    <w:rsid w:val="00805963"/>
    <w:rPr>
      <w:rFonts w:ascii="Verdana" w:hAnsi="Verdana"/>
      <w:sz w:val="20"/>
    </w:rPr>
  </w:style>
  <w:style w:type="character" w:styleId="Verwijzingopmerking">
    <w:name w:val="annotation reference"/>
    <w:basedOn w:val="Standaardalinea-lettertype"/>
    <w:uiPriority w:val="99"/>
    <w:semiHidden/>
    <w:unhideWhenUsed/>
    <w:rsid w:val="00FD5843"/>
    <w:rPr>
      <w:sz w:val="16"/>
      <w:szCs w:val="16"/>
    </w:rPr>
  </w:style>
  <w:style w:type="paragraph" w:styleId="Tekstopmerking">
    <w:name w:val="annotation text"/>
    <w:basedOn w:val="Standaard"/>
    <w:link w:val="TekstopmerkingChar"/>
    <w:uiPriority w:val="99"/>
    <w:semiHidden/>
    <w:unhideWhenUsed/>
    <w:rsid w:val="00FD5843"/>
    <w:pPr>
      <w:spacing w:line="240" w:lineRule="auto"/>
    </w:pPr>
    <w:rPr>
      <w:szCs w:val="20"/>
    </w:rPr>
  </w:style>
  <w:style w:type="character" w:customStyle="1" w:styleId="TekstopmerkingChar">
    <w:name w:val="Tekst opmerking Char"/>
    <w:basedOn w:val="Standaardalinea-lettertype"/>
    <w:link w:val="Tekstopmerking"/>
    <w:uiPriority w:val="99"/>
    <w:semiHidden/>
    <w:rsid w:val="00FD5843"/>
    <w:rPr>
      <w:sz w:val="20"/>
      <w:szCs w:val="20"/>
    </w:rPr>
  </w:style>
  <w:style w:type="paragraph" w:styleId="Onderwerpvanopmerking">
    <w:name w:val="annotation subject"/>
    <w:basedOn w:val="Tekstopmerking"/>
    <w:next w:val="Tekstopmerking"/>
    <w:link w:val="OnderwerpvanopmerkingChar"/>
    <w:uiPriority w:val="99"/>
    <w:semiHidden/>
    <w:unhideWhenUsed/>
    <w:rsid w:val="00FD5843"/>
    <w:rPr>
      <w:b/>
      <w:bCs/>
    </w:rPr>
  </w:style>
  <w:style w:type="character" w:customStyle="1" w:styleId="OnderwerpvanopmerkingChar">
    <w:name w:val="Onderwerp van opmerking Char"/>
    <w:basedOn w:val="TekstopmerkingChar"/>
    <w:link w:val="Onderwerpvanopmerking"/>
    <w:uiPriority w:val="99"/>
    <w:semiHidden/>
    <w:rsid w:val="00FD5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9779">
      <w:bodyDiv w:val="1"/>
      <w:marLeft w:val="0"/>
      <w:marRight w:val="0"/>
      <w:marTop w:val="0"/>
      <w:marBottom w:val="0"/>
      <w:divBdr>
        <w:top w:val="none" w:sz="0" w:space="0" w:color="auto"/>
        <w:left w:val="none" w:sz="0" w:space="0" w:color="auto"/>
        <w:bottom w:val="none" w:sz="0" w:space="0" w:color="auto"/>
        <w:right w:val="none" w:sz="0" w:space="0" w:color="auto"/>
      </w:divBdr>
      <w:divsChild>
        <w:div w:id="1239751946">
          <w:marLeft w:val="1166"/>
          <w:marRight w:val="0"/>
          <w:marTop w:val="60"/>
          <w:marBottom w:val="60"/>
          <w:divBdr>
            <w:top w:val="none" w:sz="0" w:space="0" w:color="auto"/>
            <w:left w:val="none" w:sz="0" w:space="0" w:color="auto"/>
            <w:bottom w:val="none" w:sz="0" w:space="0" w:color="auto"/>
            <w:right w:val="none" w:sz="0" w:space="0" w:color="auto"/>
          </w:divBdr>
        </w:div>
        <w:div w:id="1977174765">
          <w:marLeft w:val="1166"/>
          <w:marRight w:val="0"/>
          <w:marTop w:val="60"/>
          <w:marBottom w:val="60"/>
          <w:divBdr>
            <w:top w:val="none" w:sz="0" w:space="0" w:color="auto"/>
            <w:left w:val="none" w:sz="0" w:space="0" w:color="auto"/>
            <w:bottom w:val="none" w:sz="0" w:space="0" w:color="auto"/>
            <w:right w:val="none" w:sz="0" w:space="0" w:color="auto"/>
          </w:divBdr>
        </w:div>
        <w:div w:id="1216547935">
          <w:marLeft w:val="1166"/>
          <w:marRight w:val="0"/>
          <w:marTop w:val="60"/>
          <w:marBottom w:val="60"/>
          <w:divBdr>
            <w:top w:val="none" w:sz="0" w:space="0" w:color="auto"/>
            <w:left w:val="none" w:sz="0" w:space="0" w:color="auto"/>
            <w:bottom w:val="none" w:sz="0" w:space="0" w:color="auto"/>
            <w:right w:val="none" w:sz="0" w:space="0" w:color="auto"/>
          </w:divBdr>
        </w:div>
      </w:divsChild>
    </w:div>
    <w:div w:id="1338850918">
      <w:bodyDiv w:val="1"/>
      <w:marLeft w:val="0"/>
      <w:marRight w:val="0"/>
      <w:marTop w:val="0"/>
      <w:marBottom w:val="0"/>
      <w:divBdr>
        <w:top w:val="none" w:sz="0" w:space="0" w:color="auto"/>
        <w:left w:val="none" w:sz="0" w:space="0" w:color="auto"/>
        <w:bottom w:val="none" w:sz="0" w:space="0" w:color="auto"/>
        <w:right w:val="none" w:sz="0" w:space="0" w:color="auto"/>
      </w:divBdr>
      <w:divsChild>
        <w:div w:id="599416439">
          <w:marLeft w:val="1166"/>
          <w:marRight w:val="0"/>
          <w:marTop w:val="60"/>
          <w:marBottom w:val="60"/>
          <w:divBdr>
            <w:top w:val="none" w:sz="0" w:space="0" w:color="auto"/>
            <w:left w:val="none" w:sz="0" w:space="0" w:color="auto"/>
            <w:bottom w:val="none" w:sz="0" w:space="0" w:color="auto"/>
            <w:right w:val="none" w:sz="0" w:space="0" w:color="auto"/>
          </w:divBdr>
        </w:div>
        <w:div w:id="1531407842">
          <w:marLeft w:val="1166"/>
          <w:marRight w:val="0"/>
          <w:marTop w:val="60"/>
          <w:marBottom w:val="60"/>
          <w:divBdr>
            <w:top w:val="none" w:sz="0" w:space="0" w:color="auto"/>
            <w:left w:val="none" w:sz="0" w:space="0" w:color="auto"/>
            <w:bottom w:val="none" w:sz="0" w:space="0" w:color="auto"/>
            <w:right w:val="none" w:sz="0" w:space="0" w:color="auto"/>
          </w:divBdr>
        </w:div>
        <w:div w:id="1495412841">
          <w:marLeft w:val="1166"/>
          <w:marRight w:val="0"/>
          <w:marTop w:val="60"/>
          <w:marBottom w:val="60"/>
          <w:divBdr>
            <w:top w:val="none" w:sz="0" w:space="0" w:color="auto"/>
            <w:left w:val="none" w:sz="0" w:space="0" w:color="auto"/>
            <w:bottom w:val="none" w:sz="0" w:space="0" w:color="auto"/>
            <w:right w:val="none" w:sz="0" w:space="0" w:color="auto"/>
          </w:divBdr>
        </w:div>
      </w:divsChild>
    </w:div>
    <w:div w:id="1701665762">
      <w:bodyDiv w:val="1"/>
      <w:marLeft w:val="0"/>
      <w:marRight w:val="0"/>
      <w:marTop w:val="0"/>
      <w:marBottom w:val="0"/>
      <w:divBdr>
        <w:top w:val="none" w:sz="0" w:space="0" w:color="auto"/>
        <w:left w:val="none" w:sz="0" w:space="0" w:color="auto"/>
        <w:bottom w:val="none" w:sz="0" w:space="0" w:color="auto"/>
        <w:right w:val="none" w:sz="0" w:space="0" w:color="auto"/>
      </w:divBdr>
      <w:divsChild>
        <w:div w:id="1031035486">
          <w:marLeft w:val="418"/>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7ADA-DF0A-4DB1-BDE5-8E940D2E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Verhoef &amp; Co</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Wilma Bredewold</cp:lastModifiedBy>
  <cp:revision>9</cp:revision>
  <cp:lastPrinted>2016-02-16T15:46:00Z</cp:lastPrinted>
  <dcterms:created xsi:type="dcterms:W3CDTF">2021-06-28T12:50:00Z</dcterms:created>
  <dcterms:modified xsi:type="dcterms:W3CDTF">2021-08-31T12:28:00Z</dcterms:modified>
</cp:coreProperties>
</file>